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7BEE" w14:textId="4DFA9B6A" w:rsidR="00EC582D" w:rsidRPr="00815B3E" w:rsidRDefault="00EC582D" w:rsidP="00D41047">
      <w:pPr>
        <w:rPr>
          <w:rFonts w:eastAsia="Calibri" w:cs="Times New Roman"/>
          <w:b/>
          <w:color w:val="000000" w:themeColor="text1"/>
          <w:szCs w:val="24"/>
        </w:rPr>
      </w:pPr>
      <w:r w:rsidRPr="00815B3E">
        <w:rPr>
          <w:rFonts w:eastAsia="Calibri" w:cs="Times New Roman"/>
          <w:b/>
          <w:color w:val="000000" w:themeColor="text1"/>
          <w:szCs w:val="24"/>
        </w:rPr>
        <w:t>Skatteministeriet</w:t>
      </w:r>
      <w:r w:rsidRPr="00815B3E">
        <w:rPr>
          <w:rFonts w:eastAsia="Calibri" w:cs="Times New Roman"/>
          <w:b/>
          <w:color w:val="000000" w:themeColor="text1"/>
          <w:szCs w:val="24"/>
        </w:rPr>
        <w:tab/>
      </w:r>
      <w:r w:rsidRPr="00815B3E">
        <w:rPr>
          <w:rFonts w:eastAsia="Calibri" w:cs="Times New Roman"/>
          <w:b/>
          <w:color w:val="000000" w:themeColor="text1"/>
          <w:szCs w:val="24"/>
        </w:rPr>
        <w:tab/>
      </w:r>
      <w:r w:rsidRPr="00815B3E">
        <w:rPr>
          <w:rFonts w:eastAsia="Calibri" w:cs="Times New Roman"/>
          <w:b/>
          <w:color w:val="000000" w:themeColor="text1"/>
          <w:szCs w:val="24"/>
        </w:rPr>
        <w:tab/>
      </w:r>
      <w:r w:rsidR="00A75964" w:rsidRPr="00815B3E">
        <w:rPr>
          <w:rFonts w:eastAsia="Calibri" w:cs="Times New Roman"/>
          <w:b/>
          <w:color w:val="000000" w:themeColor="text1"/>
          <w:szCs w:val="24"/>
        </w:rPr>
        <w:t xml:space="preserve">       </w:t>
      </w:r>
      <w:r w:rsidRPr="00815B3E">
        <w:rPr>
          <w:rFonts w:eastAsia="Calibri" w:cs="Times New Roman"/>
          <w:b/>
          <w:color w:val="000000" w:themeColor="text1"/>
          <w:szCs w:val="24"/>
        </w:rPr>
        <w:t>J.nr.</w:t>
      </w:r>
      <w:r w:rsidR="00A75964" w:rsidRPr="00815B3E">
        <w:rPr>
          <w:rFonts w:eastAsia="Calibri" w:cs="Times New Roman"/>
          <w:b/>
          <w:color w:val="000000" w:themeColor="text1"/>
          <w:szCs w:val="24"/>
        </w:rPr>
        <w:t xml:space="preserve"> 2019-8052</w:t>
      </w:r>
    </w:p>
    <w:p w14:paraId="3BBA720E" w14:textId="77777777" w:rsidR="00EC582D" w:rsidRPr="00815B3E" w:rsidRDefault="00EC582D" w:rsidP="00D41047">
      <w:pPr>
        <w:rPr>
          <w:rFonts w:eastAsia="Calibri" w:cs="Times New Roman"/>
          <w:b/>
          <w:color w:val="000000" w:themeColor="text1"/>
          <w:szCs w:val="24"/>
        </w:rPr>
      </w:pPr>
    </w:p>
    <w:p w14:paraId="02360130" w14:textId="77777777" w:rsidR="00A75964" w:rsidRPr="00815B3E" w:rsidRDefault="00A75964" w:rsidP="00A75964">
      <w:pPr>
        <w:jc w:val="center"/>
        <w:rPr>
          <w:rFonts w:eastAsia="Calibri" w:cs="Times New Roman"/>
          <w:b/>
          <w:color w:val="000000" w:themeColor="text1"/>
          <w:szCs w:val="24"/>
        </w:rPr>
      </w:pPr>
      <w:r w:rsidRPr="00815B3E">
        <w:rPr>
          <w:rFonts w:eastAsia="Calibri" w:cs="Times New Roman"/>
          <w:b/>
          <w:color w:val="000000" w:themeColor="text1"/>
          <w:szCs w:val="24"/>
        </w:rPr>
        <w:t>Forslag</w:t>
      </w:r>
    </w:p>
    <w:p w14:paraId="6CD84522" w14:textId="77777777" w:rsidR="00A75964" w:rsidRPr="00815B3E" w:rsidRDefault="00A75964" w:rsidP="00A75964">
      <w:pPr>
        <w:jc w:val="center"/>
        <w:rPr>
          <w:rFonts w:eastAsia="Calibri" w:cs="Times New Roman"/>
          <w:color w:val="000000" w:themeColor="text1"/>
          <w:szCs w:val="24"/>
        </w:rPr>
      </w:pPr>
      <w:r w:rsidRPr="00815B3E">
        <w:rPr>
          <w:rFonts w:eastAsia="Calibri" w:cs="Times New Roman"/>
          <w:color w:val="000000" w:themeColor="text1"/>
          <w:szCs w:val="24"/>
        </w:rPr>
        <w:t>til</w:t>
      </w:r>
    </w:p>
    <w:p w14:paraId="3FE11A1F" w14:textId="10AE00C3" w:rsidR="00A75964" w:rsidRPr="00815B3E" w:rsidRDefault="00A75964" w:rsidP="00A75964">
      <w:pPr>
        <w:jc w:val="center"/>
        <w:rPr>
          <w:rFonts w:eastAsia="Calibri" w:cs="Times New Roman"/>
          <w:color w:val="000000" w:themeColor="text1"/>
          <w:szCs w:val="24"/>
        </w:rPr>
      </w:pPr>
      <w:r w:rsidRPr="00815B3E">
        <w:rPr>
          <w:rFonts w:eastAsia="Calibri" w:cs="Times New Roman"/>
          <w:b/>
          <w:bCs/>
          <w:color w:val="000000" w:themeColor="text1"/>
          <w:szCs w:val="24"/>
        </w:rPr>
        <w:t xml:space="preserve">Lov om ændring af </w:t>
      </w:r>
      <w:r w:rsidR="00254C31">
        <w:rPr>
          <w:rFonts w:eastAsia="Calibri" w:cs="Times New Roman"/>
          <w:b/>
          <w:bCs/>
          <w:color w:val="000000" w:themeColor="text1"/>
          <w:szCs w:val="24"/>
        </w:rPr>
        <w:t>lov om beskatning af fortjeneste ved afståelse af fast ejendom</w:t>
      </w:r>
      <w:r w:rsidRPr="00815B3E">
        <w:rPr>
          <w:rFonts w:eastAsia="Calibri" w:cs="Times New Roman"/>
          <w:b/>
          <w:bCs/>
          <w:color w:val="000000" w:themeColor="text1"/>
          <w:szCs w:val="24"/>
        </w:rPr>
        <w:t>,</w:t>
      </w:r>
      <w:r w:rsidR="003070E2" w:rsidRPr="00815B3E">
        <w:rPr>
          <w:rFonts w:eastAsia="Calibri" w:cs="Times New Roman"/>
          <w:b/>
          <w:bCs/>
          <w:color w:val="000000" w:themeColor="text1"/>
          <w:szCs w:val="24"/>
        </w:rPr>
        <w:t xml:space="preserve"> </w:t>
      </w:r>
      <w:r w:rsidR="008941B9">
        <w:rPr>
          <w:rFonts w:eastAsia="Calibri" w:cs="Times New Roman"/>
          <w:b/>
          <w:bCs/>
          <w:color w:val="000000" w:themeColor="text1"/>
          <w:szCs w:val="24"/>
        </w:rPr>
        <w:t xml:space="preserve">afskrivningsloven, </w:t>
      </w:r>
      <w:r w:rsidR="003070E2" w:rsidRPr="00815B3E">
        <w:rPr>
          <w:rFonts w:eastAsia="Calibri" w:cs="Times New Roman"/>
          <w:b/>
          <w:bCs/>
          <w:color w:val="000000" w:themeColor="text1"/>
          <w:szCs w:val="24"/>
        </w:rPr>
        <w:t>investorfradragsloven</w:t>
      </w:r>
      <w:r w:rsidR="00254C31">
        <w:rPr>
          <w:rFonts w:eastAsia="Calibri" w:cs="Times New Roman"/>
          <w:b/>
          <w:bCs/>
          <w:color w:val="000000" w:themeColor="text1"/>
          <w:szCs w:val="24"/>
        </w:rPr>
        <w:t xml:space="preserve"> og forskellige andre love</w:t>
      </w:r>
    </w:p>
    <w:p w14:paraId="39B3EFE7" w14:textId="63BCB1D5" w:rsidR="00A75964" w:rsidRPr="00815B3E" w:rsidRDefault="00A75964" w:rsidP="00A75964">
      <w:pPr>
        <w:jc w:val="center"/>
        <w:rPr>
          <w:rFonts w:eastAsia="Calibri" w:cs="Times New Roman"/>
          <w:color w:val="000000" w:themeColor="text1"/>
          <w:szCs w:val="24"/>
        </w:rPr>
      </w:pPr>
      <w:r w:rsidRPr="00815B3E">
        <w:rPr>
          <w:rFonts w:eastAsia="Calibri" w:cs="Times New Roman"/>
          <w:color w:val="000000" w:themeColor="text1"/>
          <w:szCs w:val="24"/>
        </w:rPr>
        <w:t>(Lagerbeskatning af selskabers ejendomsavancer</w:t>
      </w:r>
      <w:r w:rsidR="00A7409D" w:rsidRPr="00815B3E">
        <w:rPr>
          <w:rFonts w:eastAsia="Calibri" w:cs="Times New Roman"/>
          <w:color w:val="000000" w:themeColor="text1"/>
          <w:szCs w:val="24"/>
        </w:rPr>
        <w:t xml:space="preserve"> og fastholdelse af loft over investorfradraget</w:t>
      </w:r>
      <w:r w:rsidRPr="00815B3E">
        <w:rPr>
          <w:rFonts w:eastAsia="Calibri" w:cs="Times New Roman"/>
          <w:color w:val="000000" w:themeColor="text1"/>
          <w:szCs w:val="24"/>
        </w:rPr>
        <w:t>)</w:t>
      </w:r>
    </w:p>
    <w:p w14:paraId="47074630" w14:textId="77777777" w:rsidR="00A75964" w:rsidRPr="00815B3E" w:rsidRDefault="00A75964" w:rsidP="00A75964">
      <w:pPr>
        <w:jc w:val="center"/>
        <w:rPr>
          <w:rFonts w:eastAsia="Calibri" w:cs="Times New Roman"/>
          <w:b/>
          <w:bCs/>
          <w:color w:val="000000" w:themeColor="text1"/>
          <w:szCs w:val="24"/>
        </w:rPr>
      </w:pPr>
    </w:p>
    <w:p w14:paraId="4476CCCA" w14:textId="77777777" w:rsidR="00223DF9" w:rsidRPr="00815B3E" w:rsidRDefault="00223DF9" w:rsidP="00223DF9">
      <w:pPr>
        <w:jc w:val="center"/>
        <w:rPr>
          <w:rFonts w:eastAsia="Calibri" w:cs="Times New Roman"/>
          <w:b/>
          <w:bCs/>
          <w:color w:val="000000" w:themeColor="text1"/>
          <w:szCs w:val="24"/>
        </w:rPr>
      </w:pPr>
    </w:p>
    <w:p w14:paraId="38E35414" w14:textId="77777777" w:rsidR="00223DF9" w:rsidRPr="00815B3E" w:rsidRDefault="00223DF9" w:rsidP="00223DF9">
      <w:pPr>
        <w:rPr>
          <w:rFonts w:cs="Times New Roman"/>
          <w:color w:val="000000" w:themeColor="text1"/>
          <w:szCs w:val="24"/>
        </w:rPr>
      </w:pPr>
    </w:p>
    <w:p w14:paraId="7C6CB592" w14:textId="77777777" w:rsidR="00223DF9" w:rsidRPr="00815B3E" w:rsidRDefault="00223DF9" w:rsidP="00223DF9">
      <w:pPr>
        <w:rPr>
          <w:rFonts w:eastAsia="Calibri" w:cs="Times New Roman"/>
          <w:color w:val="000000" w:themeColor="text1"/>
          <w:szCs w:val="24"/>
        </w:rPr>
      </w:pPr>
    </w:p>
    <w:p w14:paraId="717EAFBA" w14:textId="1C4DA8A8" w:rsidR="00223DF9" w:rsidRPr="00815B3E" w:rsidRDefault="00223DF9" w:rsidP="00223DF9">
      <w:pPr>
        <w:jc w:val="center"/>
        <w:rPr>
          <w:rFonts w:eastAsia="Calibri" w:cs="Times New Roman"/>
          <w:b/>
          <w:color w:val="000000" w:themeColor="text1"/>
          <w:szCs w:val="24"/>
        </w:rPr>
      </w:pPr>
      <w:r w:rsidRPr="00815B3E">
        <w:rPr>
          <w:rFonts w:eastAsia="Calibri" w:cs="Times New Roman"/>
          <w:b/>
          <w:color w:val="000000" w:themeColor="text1"/>
          <w:szCs w:val="24"/>
        </w:rPr>
        <w:t xml:space="preserve">§ </w:t>
      </w:r>
      <w:r w:rsidR="00676E9F">
        <w:rPr>
          <w:rFonts w:eastAsia="Calibri" w:cs="Times New Roman"/>
          <w:b/>
          <w:color w:val="000000" w:themeColor="text1"/>
          <w:szCs w:val="24"/>
        </w:rPr>
        <w:t>1</w:t>
      </w:r>
    </w:p>
    <w:p w14:paraId="24285EFE" w14:textId="77777777" w:rsidR="00223DF9" w:rsidRPr="00815B3E" w:rsidRDefault="00223DF9" w:rsidP="00223DF9">
      <w:pPr>
        <w:rPr>
          <w:rFonts w:eastAsia="Calibri" w:cs="Times New Roman"/>
          <w:color w:val="000000" w:themeColor="text1"/>
          <w:szCs w:val="24"/>
        </w:rPr>
      </w:pPr>
    </w:p>
    <w:p w14:paraId="3BD109D2" w14:textId="298C890F" w:rsidR="00223DF9" w:rsidRPr="00815B3E" w:rsidRDefault="00223DF9" w:rsidP="00223DF9">
      <w:pPr>
        <w:rPr>
          <w:rFonts w:eastAsia="Calibri" w:cs="Times New Roman"/>
          <w:color w:val="000000" w:themeColor="text1"/>
          <w:szCs w:val="24"/>
        </w:rPr>
      </w:pPr>
      <w:r w:rsidRPr="00815B3E">
        <w:rPr>
          <w:rFonts w:eastAsia="Calibri" w:cs="Times New Roman"/>
          <w:color w:val="000000" w:themeColor="text1"/>
          <w:szCs w:val="24"/>
        </w:rPr>
        <w:t xml:space="preserve">I </w:t>
      </w:r>
      <w:r w:rsidR="001927BA">
        <w:rPr>
          <w:rFonts w:eastAsia="Calibri" w:cs="Times New Roman"/>
          <w:color w:val="000000" w:themeColor="text1"/>
          <w:szCs w:val="24"/>
        </w:rPr>
        <w:t>lov om beskatning af fortjeneste ved afståelse af fast ejendom</w:t>
      </w:r>
      <w:r w:rsidRPr="00815B3E">
        <w:rPr>
          <w:rFonts w:eastAsia="Calibri" w:cs="Times New Roman"/>
          <w:color w:val="000000" w:themeColor="text1"/>
          <w:szCs w:val="24"/>
        </w:rPr>
        <w:t xml:space="preserve">, jf. lovbekendtgørelse nr. 132 af 25. januar 2019, som ændret ved </w:t>
      </w:r>
      <w:r w:rsidR="001927BA">
        <w:rPr>
          <w:rFonts w:eastAsia="Calibri" w:cs="Times New Roman"/>
          <w:color w:val="000000" w:themeColor="text1"/>
          <w:szCs w:val="24"/>
        </w:rPr>
        <w:t>§ 1 i</w:t>
      </w:r>
      <w:r w:rsidRPr="00815B3E">
        <w:rPr>
          <w:rFonts w:eastAsia="Calibri" w:cs="Times New Roman"/>
          <w:color w:val="000000" w:themeColor="text1"/>
          <w:szCs w:val="24"/>
        </w:rPr>
        <w:t xml:space="preserve"> lov nr. </w:t>
      </w:r>
      <w:r w:rsidR="001927BA">
        <w:rPr>
          <w:rFonts w:eastAsia="Calibri" w:cs="Times New Roman"/>
          <w:color w:val="000000" w:themeColor="text1"/>
          <w:szCs w:val="24"/>
        </w:rPr>
        <w:t xml:space="preserve">1578 </w:t>
      </w:r>
      <w:r w:rsidRPr="00815B3E">
        <w:rPr>
          <w:rFonts w:eastAsia="Calibri" w:cs="Times New Roman"/>
          <w:color w:val="000000" w:themeColor="text1"/>
          <w:szCs w:val="24"/>
        </w:rPr>
        <w:t xml:space="preserve">af </w:t>
      </w:r>
      <w:r w:rsidR="001927BA">
        <w:rPr>
          <w:rFonts w:eastAsia="Calibri" w:cs="Times New Roman"/>
          <w:color w:val="000000" w:themeColor="text1"/>
          <w:szCs w:val="24"/>
        </w:rPr>
        <w:t>27. december 2019 og § 2 i lov nr. 1580 af 27. december 2019</w:t>
      </w:r>
      <w:r w:rsidR="008941B9">
        <w:rPr>
          <w:rFonts w:eastAsia="Calibri" w:cs="Times New Roman"/>
          <w:color w:val="000000" w:themeColor="text1"/>
          <w:szCs w:val="24"/>
        </w:rPr>
        <w:t>,</w:t>
      </w:r>
      <w:r w:rsidRPr="00815B3E">
        <w:rPr>
          <w:rFonts w:eastAsia="Calibri" w:cs="Times New Roman"/>
          <w:color w:val="000000" w:themeColor="text1"/>
          <w:szCs w:val="24"/>
        </w:rPr>
        <w:t xml:space="preserve"> foretages følgende ændringer:</w:t>
      </w:r>
    </w:p>
    <w:p w14:paraId="5D728512" w14:textId="77777777" w:rsidR="00223DF9" w:rsidRPr="00815B3E" w:rsidRDefault="00223DF9" w:rsidP="00223DF9">
      <w:pPr>
        <w:rPr>
          <w:rFonts w:cs="Times New Roman"/>
          <w:b/>
          <w:color w:val="000000" w:themeColor="text1"/>
          <w:szCs w:val="24"/>
        </w:rPr>
      </w:pPr>
    </w:p>
    <w:p w14:paraId="15539FD3" w14:textId="0F72C38B" w:rsidR="008941B9" w:rsidRDefault="00223DF9" w:rsidP="00223DF9">
      <w:pPr>
        <w:rPr>
          <w:rFonts w:cs="Times New Roman"/>
          <w:bCs/>
          <w:color w:val="000000" w:themeColor="text1"/>
          <w:szCs w:val="24"/>
        </w:rPr>
      </w:pPr>
      <w:r w:rsidRPr="00815B3E">
        <w:rPr>
          <w:rFonts w:cs="Times New Roman"/>
          <w:b/>
          <w:color w:val="000000" w:themeColor="text1"/>
          <w:szCs w:val="24"/>
        </w:rPr>
        <w:t xml:space="preserve">1. </w:t>
      </w:r>
      <w:r w:rsidR="001927BA">
        <w:rPr>
          <w:rFonts w:cs="Times New Roman"/>
          <w:bCs/>
          <w:color w:val="000000" w:themeColor="text1"/>
          <w:szCs w:val="24"/>
        </w:rPr>
        <w:t>L</w:t>
      </w:r>
      <w:r w:rsidRPr="00815B3E">
        <w:rPr>
          <w:rFonts w:cs="Times New Roman"/>
          <w:bCs/>
          <w:color w:val="000000" w:themeColor="text1"/>
          <w:szCs w:val="24"/>
        </w:rPr>
        <w:t xml:space="preserve">ovens </w:t>
      </w:r>
      <w:r w:rsidRPr="00255CB9">
        <w:rPr>
          <w:rFonts w:cs="Times New Roman"/>
          <w:bCs/>
          <w:i/>
          <w:iCs/>
          <w:color w:val="000000" w:themeColor="text1"/>
          <w:szCs w:val="24"/>
        </w:rPr>
        <w:t xml:space="preserve">titel </w:t>
      </w:r>
      <w:r w:rsidR="008941B9">
        <w:rPr>
          <w:rFonts w:cs="Times New Roman"/>
          <w:bCs/>
          <w:color w:val="000000" w:themeColor="text1"/>
          <w:szCs w:val="24"/>
        </w:rPr>
        <w:t>affattes således:</w:t>
      </w:r>
    </w:p>
    <w:p w14:paraId="0D67DDD5" w14:textId="3FA5EDDC" w:rsidR="00223DF9" w:rsidRPr="00255CB9" w:rsidRDefault="00223DF9" w:rsidP="00255CB9">
      <w:pPr>
        <w:jc w:val="center"/>
        <w:rPr>
          <w:rFonts w:cs="Times New Roman"/>
          <w:b/>
          <w:color w:val="000000" w:themeColor="text1"/>
          <w:szCs w:val="24"/>
        </w:rPr>
      </w:pPr>
      <w:r w:rsidRPr="00255CB9">
        <w:rPr>
          <w:rFonts w:cs="Times New Roman"/>
          <w:b/>
          <w:color w:val="000000" w:themeColor="text1"/>
          <w:szCs w:val="24"/>
        </w:rPr>
        <w:t>”</w:t>
      </w:r>
      <w:r w:rsidR="001927BA" w:rsidRPr="00255CB9">
        <w:rPr>
          <w:rFonts w:cs="Times New Roman"/>
          <w:b/>
          <w:color w:val="000000" w:themeColor="text1"/>
          <w:szCs w:val="24"/>
        </w:rPr>
        <w:t>Lov om beskatning af fortjeneste på fast ejendom (</w:t>
      </w:r>
      <w:r w:rsidR="004E4DE0">
        <w:rPr>
          <w:rFonts w:cs="Times New Roman"/>
          <w:b/>
          <w:color w:val="000000" w:themeColor="text1"/>
          <w:szCs w:val="24"/>
        </w:rPr>
        <w:t>e</w:t>
      </w:r>
      <w:r w:rsidR="001927BA" w:rsidRPr="00255CB9">
        <w:rPr>
          <w:rFonts w:cs="Times New Roman"/>
          <w:b/>
          <w:color w:val="000000" w:themeColor="text1"/>
          <w:szCs w:val="24"/>
        </w:rPr>
        <w:t>jendomsavancebeskatningsloven)</w:t>
      </w:r>
      <w:r w:rsidRPr="00255CB9">
        <w:rPr>
          <w:rFonts w:cs="Times New Roman"/>
          <w:b/>
          <w:color w:val="000000" w:themeColor="text1"/>
          <w:szCs w:val="24"/>
        </w:rPr>
        <w:t>”</w:t>
      </w:r>
      <w:r w:rsidR="008941B9" w:rsidRPr="00255CB9">
        <w:rPr>
          <w:rFonts w:cs="Times New Roman"/>
          <w:b/>
          <w:color w:val="000000" w:themeColor="text1"/>
          <w:szCs w:val="24"/>
        </w:rPr>
        <w:t>.</w:t>
      </w:r>
    </w:p>
    <w:p w14:paraId="65B80F97" w14:textId="77777777" w:rsidR="00223DF9" w:rsidRPr="00815B3E" w:rsidRDefault="00223DF9" w:rsidP="00223DF9">
      <w:pPr>
        <w:rPr>
          <w:rFonts w:cs="Times New Roman"/>
          <w:b/>
          <w:color w:val="000000" w:themeColor="text1"/>
          <w:szCs w:val="24"/>
        </w:rPr>
      </w:pPr>
    </w:p>
    <w:p w14:paraId="64B5E322" w14:textId="342AB6EA" w:rsidR="00223DF9" w:rsidRPr="00815B3E" w:rsidRDefault="00223DF9" w:rsidP="00223DF9">
      <w:pPr>
        <w:rPr>
          <w:rFonts w:cs="Times New Roman"/>
          <w:b/>
          <w:bCs/>
          <w:color w:val="000000" w:themeColor="text1"/>
          <w:szCs w:val="24"/>
        </w:rPr>
      </w:pPr>
      <w:r w:rsidRPr="00815B3E">
        <w:rPr>
          <w:rFonts w:cs="Times New Roman"/>
          <w:b/>
          <w:color w:val="000000" w:themeColor="text1"/>
          <w:szCs w:val="24"/>
        </w:rPr>
        <w:t>2.</w:t>
      </w:r>
      <w:r w:rsidRPr="00815B3E">
        <w:rPr>
          <w:rFonts w:cs="Times New Roman"/>
          <w:b/>
          <w:bCs/>
          <w:color w:val="000000" w:themeColor="text1"/>
          <w:szCs w:val="24"/>
        </w:rPr>
        <w:t xml:space="preserve"> </w:t>
      </w:r>
      <w:r w:rsidRPr="00815B3E">
        <w:rPr>
          <w:rFonts w:cs="Times New Roman"/>
          <w:color w:val="000000" w:themeColor="text1"/>
          <w:szCs w:val="24"/>
        </w:rPr>
        <w:t>Før § 1 indsættes som overskrift:</w:t>
      </w:r>
    </w:p>
    <w:p w14:paraId="30D77661" w14:textId="77777777" w:rsidR="00223DF9" w:rsidRPr="00815B3E" w:rsidRDefault="00223DF9" w:rsidP="00223DF9">
      <w:pPr>
        <w:rPr>
          <w:rFonts w:cs="Times New Roman"/>
          <w:b/>
          <w:bCs/>
          <w:color w:val="000000" w:themeColor="text1"/>
          <w:szCs w:val="24"/>
        </w:rPr>
      </w:pPr>
    </w:p>
    <w:p w14:paraId="54E537B6" w14:textId="5BA2EB49" w:rsidR="00223DF9" w:rsidRPr="00255CB9" w:rsidRDefault="00223DF9" w:rsidP="00255CB9">
      <w:pPr>
        <w:jc w:val="center"/>
        <w:rPr>
          <w:rFonts w:eastAsia="Calibri" w:cs="Times New Roman"/>
          <w:bCs/>
          <w:i/>
          <w:iCs/>
          <w:color w:val="000000" w:themeColor="text1"/>
          <w:szCs w:val="24"/>
        </w:rPr>
      </w:pPr>
      <w:r w:rsidRPr="00255CB9">
        <w:rPr>
          <w:rFonts w:eastAsia="Calibri" w:cs="Times New Roman"/>
          <w:bCs/>
          <w:i/>
          <w:iCs/>
          <w:color w:val="000000" w:themeColor="text1"/>
          <w:szCs w:val="24"/>
        </w:rPr>
        <w:t>»Kapitel 1.</w:t>
      </w:r>
    </w:p>
    <w:p w14:paraId="78971E1A" w14:textId="77777777" w:rsidR="00223DF9" w:rsidRPr="00255CB9" w:rsidRDefault="00223DF9" w:rsidP="00255CB9">
      <w:pPr>
        <w:jc w:val="center"/>
        <w:rPr>
          <w:rFonts w:eastAsia="Calibri" w:cs="Times New Roman"/>
          <w:bCs/>
          <w:i/>
          <w:iCs/>
          <w:color w:val="000000" w:themeColor="text1"/>
          <w:szCs w:val="24"/>
        </w:rPr>
      </w:pPr>
    </w:p>
    <w:p w14:paraId="586AB53E" w14:textId="14292B9C" w:rsidR="00223DF9" w:rsidRPr="00255CB9" w:rsidRDefault="00223DF9" w:rsidP="00255CB9">
      <w:pPr>
        <w:jc w:val="center"/>
        <w:rPr>
          <w:rFonts w:cs="Times New Roman"/>
          <w:bCs/>
          <w:i/>
          <w:iCs/>
          <w:color w:val="000000" w:themeColor="text1"/>
          <w:szCs w:val="24"/>
        </w:rPr>
      </w:pPr>
      <w:r w:rsidRPr="00255CB9">
        <w:rPr>
          <w:rFonts w:eastAsia="Calibri" w:cs="Times New Roman"/>
          <w:bCs/>
          <w:i/>
          <w:iCs/>
          <w:color w:val="000000" w:themeColor="text1"/>
          <w:szCs w:val="24"/>
        </w:rPr>
        <w:t>Lovens anvendelsesområde</w:t>
      </w:r>
      <w:r w:rsidRPr="00255CB9">
        <w:rPr>
          <w:rFonts w:cs="Times New Roman"/>
          <w:bCs/>
          <w:i/>
          <w:iCs/>
          <w:color w:val="000000" w:themeColor="text1"/>
          <w:szCs w:val="24"/>
        </w:rPr>
        <w:t>«</w:t>
      </w:r>
      <w:r w:rsidR="008941B9">
        <w:rPr>
          <w:rFonts w:cs="Times New Roman"/>
          <w:bCs/>
          <w:i/>
          <w:iCs/>
          <w:color w:val="000000" w:themeColor="text1"/>
          <w:szCs w:val="24"/>
        </w:rPr>
        <w:t>.</w:t>
      </w:r>
    </w:p>
    <w:p w14:paraId="7CA452E6" w14:textId="77777777" w:rsidR="00223DF9" w:rsidRPr="00815B3E" w:rsidRDefault="00223DF9" w:rsidP="00223DF9">
      <w:pPr>
        <w:rPr>
          <w:rFonts w:cs="Times New Roman"/>
          <w:b/>
          <w:color w:val="000000" w:themeColor="text1"/>
          <w:szCs w:val="24"/>
        </w:rPr>
      </w:pPr>
    </w:p>
    <w:p w14:paraId="470D3937" w14:textId="77777777" w:rsidR="00223DF9" w:rsidRPr="00815B3E" w:rsidRDefault="00223DF9" w:rsidP="00223DF9">
      <w:pPr>
        <w:rPr>
          <w:rFonts w:cs="Times New Roman"/>
          <w:bCs/>
          <w:color w:val="000000" w:themeColor="text1"/>
          <w:szCs w:val="24"/>
        </w:rPr>
      </w:pPr>
      <w:r w:rsidRPr="00815B3E">
        <w:rPr>
          <w:rFonts w:cs="Times New Roman"/>
          <w:b/>
          <w:color w:val="000000" w:themeColor="text1"/>
          <w:szCs w:val="24"/>
        </w:rPr>
        <w:t xml:space="preserve">3. </w:t>
      </w:r>
      <w:r w:rsidRPr="00815B3E">
        <w:rPr>
          <w:rFonts w:cs="Times New Roman"/>
          <w:bCs/>
          <w:i/>
          <w:iCs/>
          <w:color w:val="000000" w:themeColor="text1"/>
          <w:szCs w:val="24"/>
        </w:rPr>
        <w:t>§ 1</w:t>
      </w:r>
      <w:r w:rsidRPr="00815B3E">
        <w:rPr>
          <w:rFonts w:cs="Times New Roman"/>
          <w:bCs/>
          <w:color w:val="000000" w:themeColor="text1"/>
          <w:szCs w:val="24"/>
        </w:rPr>
        <w:t xml:space="preserve"> affattes således:</w:t>
      </w:r>
    </w:p>
    <w:p w14:paraId="6158CFF7" w14:textId="0A7ABC38" w:rsidR="00223DF9" w:rsidRPr="00815B3E" w:rsidRDefault="00223DF9" w:rsidP="00223DF9">
      <w:pPr>
        <w:rPr>
          <w:rFonts w:cs="Times New Roman"/>
          <w:bCs/>
          <w:color w:val="000000" w:themeColor="text1"/>
          <w:szCs w:val="24"/>
        </w:rPr>
      </w:pPr>
      <w:r w:rsidRPr="00815B3E">
        <w:rPr>
          <w:rFonts w:cs="Times New Roman"/>
          <w:bCs/>
          <w:color w:val="000000" w:themeColor="text1"/>
          <w:szCs w:val="24"/>
        </w:rPr>
        <w:t>”</w:t>
      </w:r>
      <w:r w:rsidRPr="00255CB9">
        <w:rPr>
          <w:rFonts w:cs="Times New Roman"/>
          <w:b/>
          <w:color w:val="000000" w:themeColor="text1"/>
          <w:szCs w:val="24"/>
        </w:rPr>
        <w:t>§ 1.</w:t>
      </w:r>
      <w:r w:rsidRPr="00815B3E">
        <w:rPr>
          <w:rFonts w:cs="Times New Roman"/>
          <w:bCs/>
          <w:color w:val="000000" w:themeColor="text1"/>
          <w:szCs w:val="24"/>
        </w:rPr>
        <w:t xml:space="preserve"> Fortjeneste på realisationsbeskattede ejendomme bortset fra ejendomme, der er erhvervet som led i den skattepligtiges næringsvej, medregnes </w:t>
      </w:r>
      <w:r w:rsidR="001927BA">
        <w:rPr>
          <w:rFonts w:cs="Times New Roman"/>
          <w:bCs/>
          <w:color w:val="000000" w:themeColor="text1"/>
          <w:szCs w:val="24"/>
        </w:rPr>
        <w:t xml:space="preserve">ved opgørelsen af </w:t>
      </w:r>
      <w:r w:rsidRPr="00815B3E">
        <w:rPr>
          <w:rFonts w:cs="Times New Roman"/>
          <w:bCs/>
          <w:color w:val="000000" w:themeColor="text1"/>
          <w:szCs w:val="24"/>
        </w:rPr>
        <w:t xml:space="preserve">den skattepligtige indkomst efter reglerne i kapitel 2. Realisationsbeskattede ejendomme er faste ejendomme, der ikke lagerbeskattes. </w:t>
      </w:r>
    </w:p>
    <w:p w14:paraId="272F2088" w14:textId="77777777" w:rsidR="00223DF9" w:rsidRPr="00815B3E" w:rsidRDefault="00223DF9" w:rsidP="00223DF9">
      <w:pPr>
        <w:rPr>
          <w:color w:val="000000" w:themeColor="text1"/>
        </w:rPr>
      </w:pPr>
      <w:r w:rsidRPr="00815B3E">
        <w:rPr>
          <w:rFonts w:cs="Times New Roman"/>
          <w:bCs/>
          <w:i/>
          <w:iCs/>
          <w:color w:val="000000" w:themeColor="text1"/>
          <w:szCs w:val="24"/>
        </w:rPr>
        <w:t>Stk. 2.</w:t>
      </w:r>
      <w:r w:rsidRPr="00815B3E">
        <w:rPr>
          <w:rFonts w:cs="Times New Roman"/>
          <w:bCs/>
          <w:color w:val="000000" w:themeColor="text1"/>
          <w:szCs w:val="24"/>
        </w:rPr>
        <w:t xml:space="preserve"> Fortjeneste og tab på lagerbeskattede ejendomme medregnes til den skattepligtige indkomst efter reglerne i kapitel 3.</w:t>
      </w:r>
      <w:r w:rsidRPr="00815B3E">
        <w:rPr>
          <w:color w:val="000000" w:themeColor="text1"/>
        </w:rPr>
        <w:t>”</w:t>
      </w:r>
    </w:p>
    <w:p w14:paraId="55FFC72A" w14:textId="77777777" w:rsidR="00223DF9" w:rsidRPr="00815B3E" w:rsidRDefault="00223DF9" w:rsidP="00223DF9">
      <w:pPr>
        <w:rPr>
          <w:rFonts w:cs="Times New Roman"/>
          <w:bCs/>
          <w:color w:val="000000" w:themeColor="text1"/>
          <w:szCs w:val="24"/>
        </w:rPr>
      </w:pPr>
    </w:p>
    <w:p w14:paraId="50887438" w14:textId="2D10507B" w:rsidR="00223DF9" w:rsidRPr="00815B3E" w:rsidRDefault="00223DF9" w:rsidP="00223DF9">
      <w:pPr>
        <w:rPr>
          <w:rFonts w:cs="Times New Roman"/>
          <w:b/>
          <w:bCs/>
          <w:color w:val="000000" w:themeColor="text1"/>
          <w:szCs w:val="24"/>
        </w:rPr>
      </w:pPr>
      <w:r w:rsidRPr="00815B3E">
        <w:rPr>
          <w:rFonts w:cs="Times New Roman"/>
          <w:b/>
          <w:color w:val="000000" w:themeColor="text1"/>
          <w:szCs w:val="24"/>
        </w:rPr>
        <w:t>4.</w:t>
      </w:r>
      <w:r w:rsidRPr="00815B3E">
        <w:rPr>
          <w:rFonts w:cs="Times New Roman"/>
          <w:b/>
          <w:bCs/>
          <w:color w:val="000000" w:themeColor="text1"/>
          <w:szCs w:val="24"/>
        </w:rPr>
        <w:t xml:space="preserve"> </w:t>
      </w:r>
      <w:r w:rsidR="00C83EEB">
        <w:rPr>
          <w:rFonts w:cs="Times New Roman"/>
          <w:color w:val="000000" w:themeColor="text1"/>
          <w:szCs w:val="24"/>
        </w:rPr>
        <w:t>Før § 2</w:t>
      </w:r>
      <w:r w:rsidRPr="00815B3E">
        <w:rPr>
          <w:rFonts w:cs="Times New Roman"/>
          <w:color w:val="000000" w:themeColor="text1"/>
          <w:szCs w:val="24"/>
        </w:rPr>
        <w:t xml:space="preserve"> indsættes som overskrift:</w:t>
      </w:r>
    </w:p>
    <w:p w14:paraId="1DDF59A5" w14:textId="77777777" w:rsidR="00223DF9" w:rsidRPr="00815B3E" w:rsidRDefault="00223DF9" w:rsidP="00223DF9">
      <w:pPr>
        <w:rPr>
          <w:rFonts w:cs="Times New Roman"/>
          <w:b/>
          <w:bCs/>
          <w:color w:val="000000" w:themeColor="text1"/>
          <w:szCs w:val="24"/>
        </w:rPr>
      </w:pPr>
    </w:p>
    <w:p w14:paraId="1C7EC57E" w14:textId="3493251F" w:rsidR="00223DF9" w:rsidRPr="00255CB9" w:rsidRDefault="00223DF9" w:rsidP="00255CB9">
      <w:pPr>
        <w:jc w:val="center"/>
        <w:rPr>
          <w:rFonts w:eastAsia="Calibri" w:cs="Times New Roman"/>
          <w:bCs/>
          <w:i/>
          <w:iCs/>
          <w:color w:val="000000" w:themeColor="text1"/>
          <w:szCs w:val="24"/>
        </w:rPr>
      </w:pPr>
      <w:r w:rsidRPr="00255CB9">
        <w:rPr>
          <w:rFonts w:eastAsia="Calibri" w:cs="Times New Roman"/>
          <w:bCs/>
          <w:i/>
          <w:iCs/>
          <w:color w:val="000000" w:themeColor="text1"/>
          <w:szCs w:val="24"/>
        </w:rPr>
        <w:t>”Kapitel 2.</w:t>
      </w:r>
    </w:p>
    <w:p w14:paraId="466B2F3E" w14:textId="77777777" w:rsidR="00223DF9" w:rsidRPr="00255CB9" w:rsidRDefault="00223DF9" w:rsidP="00255CB9">
      <w:pPr>
        <w:jc w:val="center"/>
        <w:rPr>
          <w:rFonts w:eastAsia="Calibri" w:cs="Times New Roman"/>
          <w:bCs/>
          <w:i/>
          <w:iCs/>
          <w:color w:val="000000" w:themeColor="text1"/>
          <w:szCs w:val="24"/>
        </w:rPr>
      </w:pPr>
    </w:p>
    <w:p w14:paraId="19002768" w14:textId="3EA7EE2D" w:rsidR="00223DF9" w:rsidRPr="00255CB9" w:rsidRDefault="00223DF9" w:rsidP="00255CB9">
      <w:pPr>
        <w:jc w:val="center"/>
        <w:rPr>
          <w:rFonts w:eastAsia="Calibri" w:cs="Times New Roman"/>
          <w:bCs/>
          <w:i/>
          <w:iCs/>
          <w:color w:val="000000" w:themeColor="text1"/>
          <w:szCs w:val="24"/>
        </w:rPr>
      </w:pPr>
      <w:r w:rsidRPr="00255CB9">
        <w:rPr>
          <w:rFonts w:eastAsia="Calibri" w:cs="Times New Roman"/>
          <w:bCs/>
          <w:i/>
          <w:iCs/>
          <w:color w:val="000000" w:themeColor="text1"/>
          <w:szCs w:val="24"/>
        </w:rPr>
        <w:t>Realisationsbeskattede ejendomme”</w:t>
      </w:r>
      <w:r w:rsidR="008941B9">
        <w:rPr>
          <w:rFonts w:eastAsia="Calibri" w:cs="Times New Roman"/>
          <w:bCs/>
          <w:i/>
          <w:iCs/>
          <w:color w:val="000000" w:themeColor="text1"/>
          <w:szCs w:val="24"/>
        </w:rPr>
        <w:t>.</w:t>
      </w:r>
    </w:p>
    <w:p w14:paraId="35F47801" w14:textId="77777777" w:rsidR="00223DF9" w:rsidRPr="00815B3E" w:rsidRDefault="00223DF9" w:rsidP="00223DF9">
      <w:pPr>
        <w:rPr>
          <w:rFonts w:eastAsia="Calibri" w:cs="Times New Roman"/>
          <w:b/>
          <w:color w:val="000000" w:themeColor="text1"/>
          <w:szCs w:val="24"/>
        </w:rPr>
      </w:pPr>
    </w:p>
    <w:p w14:paraId="253A1AE6" w14:textId="77777777" w:rsidR="009234D0" w:rsidRDefault="009234D0" w:rsidP="00223DF9">
      <w:pPr>
        <w:rPr>
          <w:rFonts w:eastAsia="Calibri" w:cs="Times New Roman"/>
          <w:b/>
          <w:bCs/>
          <w:color w:val="000000" w:themeColor="text1"/>
          <w:szCs w:val="24"/>
        </w:rPr>
      </w:pPr>
    </w:p>
    <w:p w14:paraId="0317F9ED" w14:textId="75A4FE01" w:rsidR="009234D0" w:rsidRPr="009234D0" w:rsidRDefault="009234D0" w:rsidP="00223DF9">
      <w:pPr>
        <w:rPr>
          <w:rFonts w:eastAsia="Calibri" w:cs="Times New Roman"/>
          <w:color w:val="000000" w:themeColor="text1"/>
          <w:szCs w:val="24"/>
        </w:rPr>
      </w:pPr>
      <w:r>
        <w:rPr>
          <w:rFonts w:eastAsia="Calibri" w:cs="Times New Roman"/>
          <w:b/>
          <w:bCs/>
          <w:color w:val="000000" w:themeColor="text1"/>
          <w:szCs w:val="24"/>
        </w:rPr>
        <w:t xml:space="preserve">5. </w:t>
      </w:r>
      <w:r>
        <w:rPr>
          <w:rFonts w:eastAsia="Calibri" w:cs="Times New Roman"/>
          <w:color w:val="000000" w:themeColor="text1"/>
          <w:szCs w:val="24"/>
        </w:rPr>
        <w:t xml:space="preserve">I </w:t>
      </w:r>
      <w:r w:rsidRPr="00D858CB">
        <w:rPr>
          <w:rFonts w:eastAsia="Calibri" w:cs="Times New Roman"/>
          <w:i/>
          <w:iCs/>
          <w:color w:val="000000" w:themeColor="text1"/>
          <w:szCs w:val="24"/>
        </w:rPr>
        <w:t xml:space="preserve">§ </w:t>
      </w:r>
      <w:r>
        <w:rPr>
          <w:rFonts w:eastAsia="Calibri" w:cs="Times New Roman"/>
          <w:i/>
          <w:iCs/>
          <w:color w:val="000000" w:themeColor="text1"/>
          <w:szCs w:val="24"/>
        </w:rPr>
        <w:t>6 D</w:t>
      </w:r>
      <w:r w:rsidRPr="00D858CB">
        <w:rPr>
          <w:rFonts w:eastAsia="Calibri" w:cs="Times New Roman"/>
          <w:i/>
          <w:iCs/>
          <w:color w:val="000000" w:themeColor="text1"/>
          <w:szCs w:val="24"/>
        </w:rPr>
        <w:t xml:space="preserve">, stk. </w:t>
      </w:r>
      <w:r>
        <w:rPr>
          <w:rFonts w:eastAsia="Calibri" w:cs="Times New Roman"/>
          <w:i/>
          <w:iCs/>
          <w:color w:val="000000" w:themeColor="text1"/>
          <w:szCs w:val="24"/>
        </w:rPr>
        <w:t>12, 5. pkt.,</w:t>
      </w:r>
      <w:r>
        <w:rPr>
          <w:rFonts w:eastAsia="Calibri" w:cs="Times New Roman"/>
          <w:color w:val="000000" w:themeColor="text1"/>
          <w:szCs w:val="24"/>
        </w:rPr>
        <w:t xml:space="preserve"> ændres »§ 73 B« til »§ 73 C«.</w:t>
      </w:r>
    </w:p>
    <w:p w14:paraId="09842B95" w14:textId="77777777" w:rsidR="009234D0" w:rsidRDefault="009234D0" w:rsidP="00223DF9">
      <w:pPr>
        <w:rPr>
          <w:rFonts w:eastAsia="Calibri" w:cs="Times New Roman"/>
          <w:b/>
          <w:bCs/>
          <w:color w:val="000000" w:themeColor="text1"/>
          <w:szCs w:val="24"/>
        </w:rPr>
      </w:pPr>
    </w:p>
    <w:p w14:paraId="7EAC932E" w14:textId="50910D45" w:rsidR="00223DF9" w:rsidRPr="00815B3E" w:rsidRDefault="00F8508C" w:rsidP="00223DF9">
      <w:pPr>
        <w:rPr>
          <w:rFonts w:eastAsia="Calibri" w:cs="Times New Roman"/>
          <w:color w:val="000000" w:themeColor="text1"/>
          <w:szCs w:val="24"/>
        </w:rPr>
      </w:pPr>
      <w:r>
        <w:rPr>
          <w:rFonts w:eastAsia="Calibri" w:cs="Times New Roman"/>
          <w:b/>
          <w:bCs/>
          <w:color w:val="000000" w:themeColor="text1"/>
          <w:szCs w:val="24"/>
        </w:rPr>
        <w:t>6</w:t>
      </w:r>
      <w:r w:rsidR="00223DF9" w:rsidRPr="00815B3E">
        <w:rPr>
          <w:rFonts w:eastAsia="Calibri" w:cs="Times New Roman"/>
          <w:b/>
          <w:bCs/>
          <w:color w:val="000000" w:themeColor="text1"/>
          <w:szCs w:val="24"/>
        </w:rPr>
        <w:t>.</w:t>
      </w:r>
      <w:r w:rsidR="00223DF9" w:rsidRPr="00815B3E">
        <w:rPr>
          <w:rFonts w:eastAsia="Calibri" w:cs="Times New Roman"/>
          <w:color w:val="000000" w:themeColor="text1"/>
          <w:szCs w:val="24"/>
        </w:rPr>
        <w:t xml:space="preserve"> Efter § 13 indsættes:</w:t>
      </w:r>
    </w:p>
    <w:p w14:paraId="3D973D3A" w14:textId="77777777" w:rsidR="00223DF9" w:rsidRPr="00815B3E" w:rsidRDefault="00223DF9" w:rsidP="00223DF9">
      <w:pPr>
        <w:rPr>
          <w:rFonts w:eastAsia="Calibri" w:cs="Times New Roman"/>
          <w:color w:val="000000" w:themeColor="text1"/>
          <w:szCs w:val="24"/>
        </w:rPr>
      </w:pPr>
    </w:p>
    <w:p w14:paraId="6E14BB1A" w14:textId="65EC53E0" w:rsidR="00223DF9" w:rsidRPr="00255CB9" w:rsidRDefault="00223DF9" w:rsidP="00255CB9">
      <w:pPr>
        <w:jc w:val="center"/>
        <w:rPr>
          <w:rFonts w:eastAsia="Calibri" w:cs="Times New Roman"/>
          <w:bCs/>
          <w:i/>
          <w:iCs/>
          <w:color w:val="000000" w:themeColor="text1"/>
          <w:szCs w:val="24"/>
        </w:rPr>
      </w:pPr>
      <w:r w:rsidRPr="00255CB9">
        <w:rPr>
          <w:rFonts w:eastAsia="Calibri" w:cs="Times New Roman"/>
          <w:bCs/>
          <w:i/>
          <w:iCs/>
          <w:color w:val="000000" w:themeColor="text1"/>
          <w:szCs w:val="24"/>
        </w:rPr>
        <w:t>»Kapitel 3.</w:t>
      </w:r>
    </w:p>
    <w:p w14:paraId="2C5AB6E7" w14:textId="77777777" w:rsidR="00223DF9" w:rsidRPr="00255CB9" w:rsidRDefault="00223DF9" w:rsidP="00255CB9">
      <w:pPr>
        <w:ind w:firstLine="284"/>
        <w:jc w:val="center"/>
        <w:rPr>
          <w:rFonts w:eastAsia="Calibri" w:cs="Times New Roman"/>
          <w:bCs/>
          <w:i/>
          <w:iCs/>
          <w:color w:val="000000" w:themeColor="text1"/>
          <w:szCs w:val="24"/>
        </w:rPr>
      </w:pPr>
    </w:p>
    <w:p w14:paraId="2F278978" w14:textId="77777777" w:rsidR="00223DF9" w:rsidRPr="00255CB9" w:rsidRDefault="00223DF9" w:rsidP="00255CB9">
      <w:pPr>
        <w:jc w:val="center"/>
        <w:rPr>
          <w:rFonts w:eastAsia="Calibri" w:cs="Times New Roman"/>
          <w:bCs/>
          <w:i/>
          <w:iCs/>
          <w:color w:val="000000" w:themeColor="text1"/>
          <w:szCs w:val="24"/>
        </w:rPr>
      </w:pPr>
      <w:r w:rsidRPr="00255CB9">
        <w:rPr>
          <w:rFonts w:eastAsia="Calibri" w:cs="Times New Roman"/>
          <w:bCs/>
          <w:i/>
          <w:iCs/>
          <w:color w:val="000000" w:themeColor="text1"/>
          <w:szCs w:val="24"/>
        </w:rPr>
        <w:t>Lagerbeskattede ejendomme</w:t>
      </w:r>
    </w:p>
    <w:p w14:paraId="1AD19A5C" w14:textId="77777777" w:rsidR="00223DF9" w:rsidRPr="00815B3E" w:rsidRDefault="00223DF9" w:rsidP="00223DF9">
      <w:pPr>
        <w:ind w:firstLine="284"/>
        <w:rPr>
          <w:rFonts w:eastAsia="Calibri" w:cs="Times New Roman"/>
          <w:b/>
          <w:color w:val="000000" w:themeColor="text1"/>
          <w:szCs w:val="24"/>
        </w:rPr>
      </w:pPr>
    </w:p>
    <w:p w14:paraId="761B861F" w14:textId="2406E815" w:rsidR="00223DF9" w:rsidRPr="00815B3E" w:rsidRDefault="00223DF9" w:rsidP="00223DF9">
      <w:pPr>
        <w:ind w:firstLine="284"/>
        <w:rPr>
          <w:rFonts w:eastAsia="Calibri" w:cs="Times New Roman"/>
          <w:bCs/>
          <w:color w:val="000000" w:themeColor="text1"/>
          <w:szCs w:val="24"/>
        </w:rPr>
      </w:pPr>
      <w:r w:rsidRPr="00815B3E">
        <w:rPr>
          <w:rFonts w:eastAsia="Calibri" w:cs="Times New Roman"/>
          <w:b/>
          <w:color w:val="000000" w:themeColor="text1"/>
          <w:szCs w:val="24"/>
        </w:rPr>
        <w:t>§ 14.</w:t>
      </w:r>
      <w:r w:rsidRPr="00815B3E">
        <w:rPr>
          <w:rFonts w:eastAsia="Calibri" w:cs="Times New Roman"/>
          <w:bCs/>
          <w:color w:val="000000" w:themeColor="text1"/>
          <w:szCs w:val="24"/>
        </w:rPr>
        <w:t xml:space="preserve"> Skattepligtige omfattet af selskabsskattelovens § 1, stk. 1, </w:t>
      </w:r>
      <w:r w:rsidR="00E35912">
        <w:rPr>
          <w:rFonts w:eastAsia="Calibri" w:cs="Times New Roman"/>
          <w:bCs/>
          <w:color w:val="000000" w:themeColor="text1"/>
          <w:szCs w:val="24"/>
        </w:rPr>
        <w:t>nr. 1-2</w:t>
      </w:r>
      <w:r w:rsidR="00C15EE1">
        <w:rPr>
          <w:rFonts w:eastAsia="Calibri" w:cs="Times New Roman"/>
          <w:bCs/>
          <w:color w:val="000000" w:themeColor="text1"/>
          <w:szCs w:val="24"/>
        </w:rPr>
        <w:t>j</w:t>
      </w:r>
      <w:r w:rsidR="00E35912">
        <w:rPr>
          <w:rFonts w:eastAsia="Calibri" w:cs="Times New Roman"/>
          <w:bCs/>
          <w:color w:val="000000" w:themeColor="text1"/>
          <w:szCs w:val="24"/>
        </w:rPr>
        <w:t xml:space="preserve"> og 3a-6, </w:t>
      </w:r>
      <w:r w:rsidRPr="00815B3E">
        <w:rPr>
          <w:rFonts w:eastAsia="Calibri" w:cs="Times New Roman"/>
          <w:bCs/>
          <w:color w:val="000000" w:themeColor="text1"/>
          <w:szCs w:val="24"/>
        </w:rPr>
        <w:t>eller § 2, stk. 1, litra a eller b</w:t>
      </w:r>
      <w:r w:rsidR="00E35912">
        <w:rPr>
          <w:rFonts w:eastAsia="Calibri" w:cs="Times New Roman"/>
          <w:bCs/>
          <w:color w:val="000000" w:themeColor="text1"/>
          <w:szCs w:val="24"/>
        </w:rPr>
        <w:t xml:space="preserve">, </w:t>
      </w:r>
      <w:r w:rsidRPr="00815B3E">
        <w:rPr>
          <w:rFonts w:eastAsia="Calibri" w:cs="Times New Roman"/>
          <w:bCs/>
          <w:color w:val="000000" w:themeColor="text1"/>
          <w:szCs w:val="24"/>
        </w:rPr>
        <w:t xml:space="preserve">skal ved opgørelsen af den skattepligtige indkomst medregne </w:t>
      </w:r>
      <w:proofErr w:type="spellStart"/>
      <w:r w:rsidRPr="00815B3E">
        <w:rPr>
          <w:rFonts w:eastAsia="Calibri" w:cs="Times New Roman"/>
          <w:bCs/>
          <w:color w:val="000000" w:themeColor="text1"/>
          <w:szCs w:val="24"/>
        </w:rPr>
        <w:t>urealiseret</w:t>
      </w:r>
      <w:proofErr w:type="spellEnd"/>
      <w:r w:rsidRPr="00815B3E">
        <w:rPr>
          <w:rFonts w:eastAsia="Calibri" w:cs="Times New Roman"/>
          <w:bCs/>
          <w:color w:val="000000" w:themeColor="text1"/>
          <w:szCs w:val="24"/>
        </w:rPr>
        <w:t xml:space="preserve"> gevinst </w:t>
      </w:r>
      <w:r w:rsidR="008A1EA8" w:rsidRPr="00815B3E">
        <w:rPr>
          <w:rFonts w:eastAsia="Calibri" w:cs="Times New Roman"/>
          <w:bCs/>
          <w:color w:val="000000" w:themeColor="text1"/>
          <w:szCs w:val="24"/>
        </w:rPr>
        <w:t xml:space="preserve">og tab </w:t>
      </w:r>
      <w:r w:rsidRPr="00815B3E">
        <w:rPr>
          <w:rFonts w:eastAsia="Calibri" w:cs="Times New Roman"/>
          <w:bCs/>
          <w:color w:val="000000" w:themeColor="text1"/>
          <w:szCs w:val="24"/>
        </w:rPr>
        <w:t xml:space="preserve">på ejendomme (lagerprincippet), når </w:t>
      </w:r>
      <w:r w:rsidR="00C83EEB">
        <w:rPr>
          <w:rFonts w:eastAsia="Calibri" w:cs="Times New Roman"/>
          <w:bCs/>
          <w:color w:val="000000" w:themeColor="text1"/>
          <w:szCs w:val="24"/>
        </w:rPr>
        <w:t>følgende betingelser er opfyldt:</w:t>
      </w:r>
    </w:p>
    <w:p w14:paraId="18F55723" w14:textId="4EAD56DD" w:rsidR="00223DF9" w:rsidRPr="00815B3E" w:rsidRDefault="00223DF9" w:rsidP="00223DF9">
      <w:pPr>
        <w:ind w:firstLine="284"/>
        <w:rPr>
          <w:rFonts w:eastAsia="Calibri" w:cs="Times New Roman"/>
          <w:bCs/>
          <w:color w:val="000000" w:themeColor="text1"/>
          <w:szCs w:val="24"/>
        </w:rPr>
      </w:pPr>
      <w:r w:rsidRPr="00815B3E">
        <w:rPr>
          <w:rFonts w:eastAsia="Calibri" w:cs="Times New Roman"/>
          <w:bCs/>
          <w:color w:val="000000" w:themeColor="text1"/>
          <w:szCs w:val="24"/>
        </w:rPr>
        <w:t xml:space="preserve">1) </w:t>
      </w:r>
      <w:r w:rsidR="00C83EEB">
        <w:rPr>
          <w:rFonts w:eastAsia="Calibri" w:cs="Times New Roman"/>
          <w:bCs/>
          <w:color w:val="000000" w:themeColor="text1"/>
          <w:szCs w:val="24"/>
        </w:rPr>
        <w:t>E</w:t>
      </w:r>
      <w:r w:rsidRPr="00815B3E">
        <w:rPr>
          <w:rFonts w:eastAsia="Calibri" w:cs="Times New Roman"/>
          <w:bCs/>
          <w:color w:val="000000" w:themeColor="text1"/>
          <w:szCs w:val="24"/>
        </w:rPr>
        <w:t>jendommen udlejes i overvejende omfang på noget tidspunkt i den skattepligtiges indkomstår</w:t>
      </w:r>
      <w:r w:rsidR="00575ADD">
        <w:rPr>
          <w:rFonts w:eastAsia="Calibri" w:cs="Times New Roman"/>
          <w:bCs/>
          <w:color w:val="000000" w:themeColor="text1"/>
          <w:szCs w:val="24"/>
        </w:rPr>
        <w:t>.</w:t>
      </w:r>
    </w:p>
    <w:p w14:paraId="171CA791" w14:textId="6AEA39A5" w:rsidR="00223DF9" w:rsidRPr="00815B3E" w:rsidRDefault="00223DF9" w:rsidP="00223DF9">
      <w:pPr>
        <w:ind w:firstLine="284"/>
        <w:rPr>
          <w:rFonts w:eastAsia="Calibri" w:cs="Times New Roman"/>
          <w:bCs/>
          <w:color w:val="000000" w:themeColor="text1"/>
          <w:szCs w:val="24"/>
        </w:rPr>
      </w:pPr>
      <w:r w:rsidRPr="00815B3E">
        <w:rPr>
          <w:rFonts w:eastAsia="Calibri" w:cs="Times New Roman"/>
          <w:bCs/>
          <w:color w:val="000000" w:themeColor="text1"/>
          <w:szCs w:val="24"/>
        </w:rPr>
        <w:t xml:space="preserve">2) </w:t>
      </w:r>
      <w:r w:rsidR="00C83EEB">
        <w:rPr>
          <w:rFonts w:eastAsia="Calibri" w:cs="Times New Roman"/>
          <w:bCs/>
          <w:color w:val="000000" w:themeColor="text1"/>
          <w:szCs w:val="24"/>
        </w:rPr>
        <w:t>H</w:t>
      </w:r>
      <w:r w:rsidR="00CC7A5D" w:rsidRPr="00815B3E">
        <w:rPr>
          <w:rFonts w:eastAsia="Calibri" w:cs="Times New Roman"/>
          <w:bCs/>
          <w:color w:val="000000" w:themeColor="text1"/>
          <w:szCs w:val="24"/>
        </w:rPr>
        <w:t>andels</w:t>
      </w:r>
      <w:r w:rsidRPr="00815B3E">
        <w:rPr>
          <w:rFonts w:eastAsia="Calibri" w:cs="Times New Roman"/>
          <w:bCs/>
          <w:color w:val="000000" w:themeColor="text1"/>
          <w:szCs w:val="24"/>
        </w:rPr>
        <w:t>værdien af ejendomme under dansk beskatning, der udlejes i overvejende omfang, overstiger 100 mio. kr. ved udløbet af den skattepligtiges indkomstår. Ved opgørelsen efter 1. pkt. medregnes værdien af den skattepligtiges egne ejendomme og ejendomme tilhørende selskaber m.v.</w:t>
      </w:r>
      <w:r w:rsidR="00115202">
        <w:rPr>
          <w:rFonts w:eastAsia="Calibri" w:cs="Times New Roman"/>
          <w:bCs/>
          <w:color w:val="000000" w:themeColor="text1"/>
          <w:szCs w:val="24"/>
        </w:rPr>
        <w:t xml:space="preserve"> som nævnt i 1. pkt., og</w:t>
      </w:r>
      <w:r w:rsidRPr="00815B3E">
        <w:rPr>
          <w:rFonts w:eastAsia="Calibri" w:cs="Times New Roman"/>
          <w:bCs/>
          <w:color w:val="000000" w:themeColor="text1"/>
          <w:szCs w:val="24"/>
        </w:rPr>
        <w:t xml:space="preserve"> som kontrolleres af den kreds af </w:t>
      </w:r>
      <w:r w:rsidR="0065554D" w:rsidRPr="00815B3E">
        <w:rPr>
          <w:rFonts w:eastAsia="Calibri" w:cs="Times New Roman"/>
          <w:bCs/>
          <w:color w:val="000000" w:themeColor="text1"/>
          <w:szCs w:val="24"/>
        </w:rPr>
        <w:t>parter</w:t>
      </w:r>
      <w:r w:rsidRPr="00815B3E">
        <w:rPr>
          <w:rFonts w:eastAsia="Calibri" w:cs="Times New Roman"/>
          <w:bCs/>
          <w:color w:val="000000" w:themeColor="text1"/>
          <w:szCs w:val="24"/>
        </w:rPr>
        <w:t>, der har en forbindelse, som er nævnt i ligningslovens § 2.</w:t>
      </w:r>
      <w:r w:rsidR="006E24EB" w:rsidRPr="00815B3E">
        <w:rPr>
          <w:rFonts w:eastAsia="Calibri" w:cs="Times New Roman"/>
          <w:bCs/>
          <w:color w:val="000000" w:themeColor="text1"/>
          <w:szCs w:val="24"/>
        </w:rPr>
        <w:t xml:space="preserve"> Hvis indkomståret </w:t>
      </w:r>
      <w:r w:rsidR="0065554D" w:rsidRPr="00815B3E">
        <w:rPr>
          <w:rFonts w:eastAsia="Calibri" w:cs="Times New Roman"/>
          <w:bCs/>
          <w:color w:val="000000" w:themeColor="text1"/>
          <w:szCs w:val="24"/>
        </w:rPr>
        <w:t xml:space="preserve">for en part </w:t>
      </w:r>
      <w:r w:rsidR="006E24EB" w:rsidRPr="00815B3E">
        <w:rPr>
          <w:rFonts w:eastAsia="Calibri" w:cs="Times New Roman"/>
          <w:bCs/>
          <w:color w:val="000000" w:themeColor="text1"/>
          <w:szCs w:val="24"/>
        </w:rPr>
        <w:t>ikke udløber på samme tidspunkt som indkomståret for den skattepligtige, anvendes</w:t>
      </w:r>
      <w:r w:rsidR="0065554D" w:rsidRPr="00815B3E">
        <w:rPr>
          <w:rFonts w:eastAsia="Calibri" w:cs="Times New Roman"/>
          <w:bCs/>
          <w:color w:val="000000" w:themeColor="text1"/>
          <w:szCs w:val="24"/>
        </w:rPr>
        <w:t xml:space="preserve"> værdien ved</w:t>
      </w:r>
      <w:r w:rsidR="006E24EB" w:rsidRPr="00815B3E">
        <w:rPr>
          <w:rFonts w:eastAsia="Calibri" w:cs="Times New Roman"/>
          <w:bCs/>
          <w:color w:val="000000" w:themeColor="text1"/>
          <w:szCs w:val="24"/>
        </w:rPr>
        <w:t xml:space="preserve"> udløbet af det indkomstår, som træder i stedet for den skattepligtiges indkomstår, ved opgørelsen efter </w:t>
      </w:r>
      <w:r w:rsidR="0065554D" w:rsidRPr="00815B3E">
        <w:rPr>
          <w:rFonts w:eastAsia="Calibri" w:cs="Times New Roman"/>
          <w:bCs/>
          <w:color w:val="000000" w:themeColor="text1"/>
          <w:szCs w:val="24"/>
        </w:rPr>
        <w:t>2</w:t>
      </w:r>
      <w:r w:rsidR="006E24EB" w:rsidRPr="00815B3E">
        <w:rPr>
          <w:rFonts w:eastAsia="Calibri" w:cs="Times New Roman"/>
          <w:bCs/>
          <w:color w:val="000000" w:themeColor="text1"/>
          <w:szCs w:val="24"/>
        </w:rPr>
        <w:t>. pkt.</w:t>
      </w:r>
    </w:p>
    <w:p w14:paraId="415534F3" w14:textId="05F2ED45" w:rsidR="00223DF9" w:rsidRPr="00815B3E" w:rsidRDefault="00223DF9" w:rsidP="00223DF9">
      <w:pPr>
        <w:ind w:firstLine="284"/>
        <w:rPr>
          <w:rFonts w:eastAsia="Calibri" w:cs="Times New Roman"/>
          <w:bCs/>
          <w:color w:val="000000" w:themeColor="text1"/>
          <w:szCs w:val="24"/>
        </w:rPr>
      </w:pPr>
      <w:r w:rsidRPr="00815B3E">
        <w:rPr>
          <w:rFonts w:eastAsia="Calibri" w:cs="Times New Roman"/>
          <w:bCs/>
          <w:i/>
          <w:iCs/>
          <w:color w:val="000000" w:themeColor="text1"/>
          <w:szCs w:val="24"/>
        </w:rPr>
        <w:t>Stk. 2.</w:t>
      </w:r>
      <w:r w:rsidRPr="00815B3E">
        <w:rPr>
          <w:rFonts w:eastAsia="Calibri" w:cs="Times New Roman"/>
          <w:bCs/>
          <w:color w:val="000000" w:themeColor="text1"/>
          <w:szCs w:val="24"/>
        </w:rPr>
        <w:t xml:space="preserve"> En ejendom anses for udlejet i overvejende omfang, hvis mere end 50 pct. af bygningernes samlede etageareal eller mere end 50 pct. af ejendommens samlede grundareal udlejes. </w:t>
      </w:r>
      <w:r w:rsidR="00FF01BA" w:rsidRPr="00813769">
        <w:rPr>
          <w:rFonts w:eastAsia="Calibri" w:cs="Times New Roman"/>
          <w:bCs/>
          <w:szCs w:val="24"/>
        </w:rPr>
        <w:t xml:space="preserve">En ejendom anses for udlejet fra det tidspunkt, lejer overtager det lejede. </w:t>
      </w:r>
      <w:r w:rsidRPr="00813769">
        <w:rPr>
          <w:rFonts w:eastAsia="Calibri" w:cs="Times New Roman"/>
          <w:bCs/>
          <w:color w:val="000000" w:themeColor="text1"/>
          <w:szCs w:val="24"/>
        </w:rPr>
        <w:t>Udlejning</w:t>
      </w:r>
      <w:r w:rsidRPr="00815B3E">
        <w:rPr>
          <w:rFonts w:eastAsia="Calibri" w:cs="Times New Roman"/>
          <w:bCs/>
          <w:color w:val="000000" w:themeColor="text1"/>
          <w:szCs w:val="24"/>
        </w:rPr>
        <w:t xml:space="preserve"> til en lejer, der er sambeskattet med den skattepligtige, jf. selskabsskattelovens §</w:t>
      </w:r>
      <w:r w:rsidR="00C83EEB">
        <w:rPr>
          <w:rFonts w:eastAsia="Calibri" w:cs="Times New Roman"/>
          <w:bCs/>
          <w:color w:val="000000" w:themeColor="text1"/>
          <w:szCs w:val="24"/>
        </w:rPr>
        <w:t>§</w:t>
      </w:r>
      <w:r w:rsidRPr="00815B3E">
        <w:rPr>
          <w:rFonts w:eastAsia="Calibri" w:cs="Times New Roman"/>
          <w:bCs/>
          <w:color w:val="000000" w:themeColor="text1"/>
          <w:szCs w:val="24"/>
        </w:rPr>
        <w:t xml:space="preserve"> 31 og 31 A, anses ikke for udlejning, medmindre ejendommen videreudlejes til en lejer, der ikke er sambeskattet med den skattepligtige.</w:t>
      </w:r>
      <w:bookmarkStart w:id="0" w:name="_Hlk105575118"/>
      <w:r w:rsidR="00A81D8D">
        <w:rPr>
          <w:rFonts w:eastAsia="Calibri" w:cs="Times New Roman"/>
          <w:bCs/>
          <w:color w:val="000000" w:themeColor="text1"/>
          <w:szCs w:val="24"/>
        </w:rPr>
        <w:t xml:space="preserve"> </w:t>
      </w:r>
      <w:r w:rsidR="00CC61D4">
        <w:rPr>
          <w:rFonts w:eastAsia="Calibri" w:cs="Times New Roman"/>
          <w:bCs/>
          <w:color w:val="000000" w:themeColor="text1"/>
          <w:szCs w:val="24"/>
        </w:rPr>
        <w:t xml:space="preserve">Udlejning fra foreninger m.v. anses </w:t>
      </w:r>
      <w:r w:rsidR="00E35912">
        <w:rPr>
          <w:rFonts w:eastAsia="Calibri" w:cs="Times New Roman"/>
          <w:bCs/>
          <w:color w:val="000000" w:themeColor="text1"/>
          <w:szCs w:val="24"/>
        </w:rPr>
        <w:t xml:space="preserve">efter denne bestemmelse </w:t>
      </w:r>
      <w:r w:rsidR="00CC61D4">
        <w:rPr>
          <w:rFonts w:eastAsia="Calibri" w:cs="Times New Roman"/>
          <w:bCs/>
          <w:color w:val="000000" w:themeColor="text1"/>
          <w:szCs w:val="24"/>
        </w:rPr>
        <w:t xml:space="preserve">ikke for udlejning, når lejeindtægten ikke anses </w:t>
      </w:r>
      <w:r w:rsidR="00E35912">
        <w:rPr>
          <w:rFonts w:eastAsia="Calibri" w:cs="Times New Roman"/>
          <w:bCs/>
          <w:color w:val="000000" w:themeColor="text1"/>
          <w:szCs w:val="24"/>
        </w:rPr>
        <w:t>som indvundet</w:t>
      </w:r>
      <w:r w:rsidR="00CC61D4">
        <w:rPr>
          <w:rFonts w:eastAsia="Calibri" w:cs="Times New Roman"/>
          <w:bCs/>
          <w:color w:val="000000" w:themeColor="text1"/>
          <w:szCs w:val="24"/>
        </w:rPr>
        <w:t xml:space="preserve"> ved erhvervsmæssig virksomhed efter selskabsskattelovens </w:t>
      </w:r>
      <w:r w:rsidR="00F805A7">
        <w:rPr>
          <w:rFonts w:eastAsia="Calibri" w:cs="Times New Roman"/>
          <w:bCs/>
          <w:color w:val="000000" w:themeColor="text1"/>
          <w:szCs w:val="24"/>
        </w:rPr>
        <w:t xml:space="preserve">§ </w:t>
      </w:r>
      <w:r w:rsidR="00CC61D4">
        <w:rPr>
          <w:rFonts w:eastAsia="Calibri" w:cs="Times New Roman"/>
          <w:bCs/>
          <w:color w:val="000000" w:themeColor="text1"/>
          <w:szCs w:val="24"/>
        </w:rPr>
        <w:t>1, stk. 4 eller 5.</w:t>
      </w:r>
    </w:p>
    <w:bookmarkEnd w:id="0"/>
    <w:p w14:paraId="7CDD2EDB" w14:textId="77777777" w:rsidR="00223DF9" w:rsidRPr="00815B3E" w:rsidRDefault="00223DF9" w:rsidP="00223DF9">
      <w:pPr>
        <w:ind w:firstLine="284"/>
        <w:rPr>
          <w:rFonts w:eastAsia="Calibri" w:cs="Times New Roman"/>
          <w:bCs/>
          <w:color w:val="000000" w:themeColor="text1"/>
          <w:szCs w:val="24"/>
        </w:rPr>
      </w:pPr>
      <w:r w:rsidRPr="00815B3E">
        <w:rPr>
          <w:rFonts w:eastAsia="Calibri" w:cs="Times New Roman"/>
          <w:bCs/>
          <w:i/>
          <w:iCs/>
          <w:color w:val="000000" w:themeColor="text1"/>
          <w:szCs w:val="24"/>
        </w:rPr>
        <w:lastRenderedPageBreak/>
        <w:t xml:space="preserve">Stk. 3. </w:t>
      </w:r>
      <w:r w:rsidRPr="00815B3E">
        <w:rPr>
          <w:rFonts w:eastAsia="Calibri" w:cs="Times New Roman"/>
          <w:bCs/>
          <w:color w:val="000000" w:themeColor="text1"/>
          <w:szCs w:val="24"/>
        </w:rPr>
        <w:t xml:space="preserve">En ejendom vedbliver med at være lagerbeskattet, så længe den skattepligtige ejer ejendommen. </w:t>
      </w:r>
    </w:p>
    <w:p w14:paraId="4C5B8CEE" w14:textId="77777777" w:rsidR="00223DF9" w:rsidRPr="00815B3E" w:rsidRDefault="00223DF9" w:rsidP="00223DF9">
      <w:pPr>
        <w:ind w:firstLine="284"/>
        <w:rPr>
          <w:rFonts w:eastAsia="Calibri" w:cs="Times New Roman"/>
          <w:bCs/>
          <w:color w:val="000000" w:themeColor="text1"/>
          <w:szCs w:val="24"/>
        </w:rPr>
      </w:pPr>
    </w:p>
    <w:p w14:paraId="54ADD0EB" w14:textId="77777777" w:rsidR="00F95722" w:rsidRDefault="00223DF9" w:rsidP="00223DF9">
      <w:pPr>
        <w:ind w:firstLine="284"/>
        <w:rPr>
          <w:rFonts w:eastAsia="Calibri" w:cs="Times New Roman"/>
          <w:bCs/>
          <w:color w:val="000000" w:themeColor="text1"/>
          <w:szCs w:val="24"/>
        </w:rPr>
      </w:pPr>
      <w:r w:rsidRPr="00815B3E">
        <w:rPr>
          <w:rFonts w:eastAsia="Calibri" w:cs="Times New Roman"/>
          <w:b/>
          <w:color w:val="000000" w:themeColor="text1"/>
          <w:szCs w:val="24"/>
        </w:rPr>
        <w:t xml:space="preserve">§ 14 A. </w:t>
      </w:r>
      <w:r w:rsidRPr="00815B3E">
        <w:rPr>
          <w:rFonts w:eastAsia="Calibri" w:cs="Times New Roman"/>
          <w:bCs/>
          <w:color w:val="000000" w:themeColor="text1"/>
          <w:szCs w:val="24"/>
        </w:rPr>
        <w:t xml:space="preserve">Fortjeneste og tab på en fast ejendom </w:t>
      </w:r>
      <w:r w:rsidR="00D505EB" w:rsidRPr="00815B3E">
        <w:rPr>
          <w:rFonts w:eastAsia="Calibri" w:cs="Times New Roman"/>
          <w:bCs/>
          <w:color w:val="000000" w:themeColor="text1"/>
          <w:szCs w:val="24"/>
        </w:rPr>
        <w:t xml:space="preserve">omfattet af § 14 </w:t>
      </w:r>
      <w:r w:rsidRPr="00815B3E">
        <w:rPr>
          <w:rFonts w:eastAsia="Calibri" w:cs="Times New Roman"/>
          <w:bCs/>
          <w:color w:val="000000" w:themeColor="text1"/>
          <w:szCs w:val="24"/>
        </w:rPr>
        <w:t>opgøres som forskellen mellem ejendommens handelsværdi ved indkomstårets udløb og ejendommens handelsværdi ved indkomstårets begyndelse (lagerprincippet). Hvis ejendommen er erhvervet i løbet af indkomståret, anvendes ejendommens anskaffelsessum i stedet for værdien ved indkomstårets begyndelse. Hvis ejendommen er afstået i løbet af indkomståret, anvendes ejendommens afståelsessum i stedet for værdien ved indkomstårets udløb.</w:t>
      </w:r>
    </w:p>
    <w:p w14:paraId="6F3A6C96" w14:textId="7B05D262" w:rsidR="00223DF9" w:rsidRPr="00815B3E" w:rsidRDefault="00F95722" w:rsidP="00223DF9">
      <w:pPr>
        <w:ind w:firstLine="284"/>
        <w:rPr>
          <w:rFonts w:eastAsia="Calibri" w:cs="Times New Roman"/>
          <w:bCs/>
          <w:color w:val="000000" w:themeColor="text1"/>
          <w:szCs w:val="24"/>
        </w:rPr>
      </w:pPr>
      <w:r w:rsidRPr="00F95722">
        <w:rPr>
          <w:rFonts w:eastAsia="Calibri" w:cs="Times New Roman"/>
          <w:bCs/>
          <w:i/>
          <w:iCs/>
          <w:color w:val="000000" w:themeColor="text1"/>
          <w:szCs w:val="24"/>
        </w:rPr>
        <w:t>Stk. 2.</w:t>
      </w:r>
      <w:r>
        <w:rPr>
          <w:rFonts w:eastAsia="Calibri" w:cs="Times New Roman"/>
          <w:bCs/>
          <w:color w:val="000000" w:themeColor="text1"/>
          <w:szCs w:val="24"/>
        </w:rPr>
        <w:t xml:space="preserve"> Anskaffelsessummen omregnes til kontantværdi, der beregnes ved, at den kontante del af anskaffelsessummen lægges sammen med kursværdien af ejendommens gældsposter på anskaffelsestidspunktet. Afståelsessummen omregnes til kontantværdi, der beregnes ved, at den kontante del af afståelsessummen lægges sammen med kursværdien af de overdragne gældsposter på afståelsestidspunktet.  </w:t>
      </w:r>
      <w:r w:rsidR="00223DF9" w:rsidRPr="00815B3E">
        <w:rPr>
          <w:rFonts w:eastAsia="Calibri" w:cs="Times New Roman"/>
          <w:bCs/>
          <w:color w:val="000000" w:themeColor="text1"/>
          <w:szCs w:val="24"/>
        </w:rPr>
        <w:t xml:space="preserve">  </w:t>
      </w:r>
    </w:p>
    <w:p w14:paraId="2F64A670" w14:textId="62FF4446" w:rsidR="00223DF9" w:rsidRPr="00815B3E" w:rsidRDefault="00223DF9" w:rsidP="00223DF9">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Stk. </w:t>
      </w:r>
      <w:r w:rsidR="00F95722">
        <w:rPr>
          <w:rFonts w:eastAsia="Calibri" w:cs="Times New Roman"/>
          <w:bCs/>
          <w:i/>
          <w:iCs/>
          <w:color w:val="000000" w:themeColor="text1"/>
          <w:szCs w:val="24"/>
        </w:rPr>
        <w:t>3</w:t>
      </w:r>
      <w:r w:rsidRPr="00815B3E">
        <w:rPr>
          <w:rFonts w:eastAsia="Calibri" w:cs="Times New Roman"/>
          <w:bCs/>
          <w:i/>
          <w:iCs/>
          <w:color w:val="000000" w:themeColor="text1"/>
          <w:szCs w:val="24"/>
        </w:rPr>
        <w:t>.</w:t>
      </w:r>
      <w:r w:rsidRPr="00815B3E">
        <w:rPr>
          <w:rFonts w:eastAsia="Calibri" w:cs="Times New Roman"/>
          <w:bCs/>
          <w:color w:val="000000" w:themeColor="text1"/>
          <w:szCs w:val="24"/>
        </w:rPr>
        <w:t xml:space="preserve"> Erstatnings- og forsikringssummer sidestilles med afståelsessummer. </w:t>
      </w:r>
    </w:p>
    <w:p w14:paraId="4351D88D" w14:textId="36B25538" w:rsidR="00223DF9" w:rsidRPr="00815B3E" w:rsidRDefault="00223DF9" w:rsidP="00223DF9">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Stk. </w:t>
      </w:r>
      <w:r w:rsidR="00F95722">
        <w:rPr>
          <w:rFonts w:eastAsia="Calibri" w:cs="Times New Roman"/>
          <w:bCs/>
          <w:i/>
          <w:iCs/>
          <w:color w:val="000000" w:themeColor="text1"/>
          <w:szCs w:val="24"/>
        </w:rPr>
        <w:t>4</w:t>
      </w:r>
      <w:r w:rsidRPr="00815B3E">
        <w:rPr>
          <w:rFonts w:eastAsia="Calibri" w:cs="Times New Roman"/>
          <w:bCs/>
          <w:i/>
          <w:iCs/>
          <w:color w:val="000000" w:themeColor="text1"/>
          <w:szCs w:val="24"/>
        </w:rPr>
        <w:t xml:space="preserve">. </w:t>
      </w:r>
      <w:r w:rsidRPr="00815B3E">
        <w:rPr>
          <w:rFonts w:eastAsia="Calibri" w:cs="Times New Roman"/>
          <w:bCs/>
          <w:color w:val="000000" w:themeColor="text1"/>
          <w:szCs w:val="24"/>
        </w:rPr>
        <w:t xml:space="preserve">Afstår en ejer af fast ejendom denne på sådanne vilkår, at der ved senere afståelse tilfalder ejeren et yderligere vederlag for ejendommen, medregnes dette yderligere vederlag </w:t>
      </w:r>
      <w:r w:rsidR="00C83EEB">
        <w:rPr>
          <w:rFonts w:eastAsia="Calibri" w:cs="Times New Roman"/>
          <w:bCs/>
          <w:color w:val="000000" w:themeColor="text1"/>
          <w:szCs w:val="24"/>
        </w:rPr>
        <w:t>ved opgørelsen af</w:t>
      </w:r>
      <w:r w:rsidRPr="00815B3E">
        <w:rPr>
          <w:rFonts w:eastAsia="Calibri" w:cs="Times New Roman"/>
          <w:bCs/>
          <w:color w:val="000000" w:themeColor="text1"/>
          <w:szCs w:val="24"/>
        </w:rPr>
        <w:t xml:space="preserve"> den skattepligtige indkomst i det år, hvor retten til det yderligere vederlag erhverves.</w:t>
      </w:r>
    </w:p>
    <w:p w14:paraId="35ED661A" w14:textId="550248E7" w:rsidR="00223DF9" w:rsidRPr="00815B3E" w:rsidRDefault="00223DF9" w:rsidP="00223DF9">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Stk. </w:t>
      </w:r>
      <w:r w:rsidR="002E74C1">
        <w:rPr>
          <w:rFonts w:eastAsia="Calibri" w:cs="Times New Roman"/>
          <w:bCs/>
          <w:i/>
          <w:iCs/>
          <w:color w:val="000000" w:themeColor="text1"/>
          <w:szCs w:val="24"/>
        </w:rPr>
        <w:t>5</w:t>
      </w:r>
      <w:r w:rsidRPr="00815B3E">
        <w:rPr>
          <w:rFonts w:eastAsia="Calibri" w:cs="Times New Roman"/>
          <w:bCs/>
          <w:i/>
          <w:iCs/>
          <w:color w:val="000000" w:themeColor="text1"/>
          <w:szCs w:val="24"/>
        </w:rPr>
        <w:t>.</w:t>
      </w:r>
      <w:r w:rsidRPr="00815B3E">
        <w:rPr>
          <w:rFonts w:eastAsia="Calibri" w:cs="Times New Roman"/>
          <w:bCs/>
          <w:color w:val="000000" w:themeColor="text1"/>
          <w:szCs w:val="24"/>
        </w:rPr>
        <w:t xml:space="preserve"> Ved opgørelsen af den skattepligtige indkomst kan udgifter, der er afholdt til forbedring og vedligeholdelse af ejendommen, fratrækkes.</w:t>
      </w:r>
    </w:p>
    <w:p w14:paraId="6F72B4DB" w14:textId="77777777" w:rsidR="00223DF9" w:rsidRPr="00815B3E" w:rsidRDefault="00223DF9" w:rsidP="00223DF9">
      <w:pPr>
        <w:ind w:firstLine="284"/>
        <w:rPr>
          <w:rFonts w:eastAsia="Calibri" w:cs="Times New Roman"/>
          <w:bCs/>
          <w:color w:val="000000" w:themeColor="text1"/>
          <w:szCs w:val="24"/>
        </w:rPr>
      </w:pPr>
    </w:p>
    <w:p w14:paraId="1E91255B" w14:textId="3C54FA04" w:rsidR="00223DF9" w:rsidRPr="00815B3E" w:rsidRDefault="00223DF9" w:rsidP="00223DF9">
      <w:pPr>
        <w:ind w:firstLine="284"/>
        <w:rPr>
          <w:rFonts w:eastAsia="Calibri" w:cs="Times New Roman"/>
          <w:bCs/>
          <w:color w:val="000000" w:themeColor="text1"/>
          <w:szCs w:val="24"/>
        </w:rPr>
      </w:pPr>
      <w:r w:rsidRPr="00815B3E">
        <w:rPr>
          <w:rFonts w:eastAsia="Calibri" w:cs="Times New Roman"/>
          <w:b/>
          <w:color w:val="000000" w:themeColor="text1"/>
          <w:szCs w:val="24"/>
        </w:rPr>
        <w:t xml:space="preserve">§ 14 B. </w:t>
      </w:r>
      <w:r w:rsidRPr="00815B3E">
        <w:rPr>
          <w:rFonts w:eastAsia="Calibri" w:cs="Times New Roman"/>
          <w:bCs/>
          <w:color w:val="000000" w:themeColor="text1"/>
          <w:szCs w:val="24"/>
        </w:rPr>
        <w:t xml:space="preserve">Overgang fra realisationsbeskatning til lagerbeskatning finder sted med virkning fra begyndelsen af det indkomstår, hvor betingelserne i § 14 er opfyldt. </w:t>
      </w:r>
    </w:p>
    <w:p w14:paraId="1FC923ED" w14:textId="45043B4A" w:rsidR="00223DF9" w:rsidRPr="00815B3E" w:rsidRDefault="00223DF9" w:rsidP="00223DF9">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Stk. </w:t>
      </w:r>
      <w:r w:rsidR="0009793B" w:rsidRPr="00815B3E">
        <w:rPr>
          <w:rFonts w:eastAsia="Calibri" w:cs="Times New Roman"/>
          <w:bCs/>
          <w:i/>
          <w:iCs/>
          <w:color w:val="000000" w:themeColor="text1"/>
          <w:szCs w:val="24"/>
        </w:rPr>
        <w:t>2</w:t>
      </w:r>
      <w:r w:rsidRPr="00815B3E">
        <w:rPr>
          <w:rFonts w:eastAsia="Calibri" w:cs="Times New Roman"/>
          <w:bCs/>
          <w:i/>
          <w:iCs/>
          <w:color w:val="000000" w:themeColor="text1"/>
          <w:szCs w:val="24"/>
        </w:rPr>
        <w:t xml:space="preserve">. </w:t>
      </w:r>
      <w:r w:rsidRPr="00815B3E">
        <w:rPr>
          <w:rFonts w:eastAsia="Calibri" w:cs="Times New Roman"/>
          <w:bCs/>
          <w:color w:val="000000" w:themeColor="text1"/>
          <w:szCs w:val="24"/>
        </w:rPr>
        <w:t>For nyerhvervede ejendomme, som udlejes i overvejende omfang, indtræder lagerbeskatningen med virkning fra erhvervelsen, hvis betingelserne i § 14 er opfyldt i det indkomstår, erhvervelsen finder sted.</w:t>
      </w:r>
    </w:p>
    <w:p w14:paraId="02740402" w14:textId="4E635AA0" w:rsidR="00223DF9" w:rsidRPr="00815B3E" w:rsidRDefault="00223DF9" w:rsidP="00223DF9">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Stk. </w:t>
      </w:r>
      <w:r w:rsidR="0009793B" w:rsidRPr="00815B3E">
        <w:rPr>
          <w:rFonts w:eastAsia="Calibri" w:cs="Times New Roman"/>
          <w:bCs/>
          <w:i/>
          <w:iCs/>
          <w:color w:val="000000" w:themeColor="text1"/>
          <w:szCs w:val="24"/>
        </w:rPr>
        <w:t>3</w:t>
      </w:r>
      <w:r w:rsidRPr="00815B3E">
        <w:rPr>
          <w:rFonts w:eastAsia="Calibri" w:cs="Times New Roman"/>
          <w:bCs/>
          <w:i/>
          <w:iCs/>
          <w:color w:val="000000" w:themeColor="text1"/>
          <w:szCs w:val="24"/>
        </w:rPr>
        <w:t xml:space="preserve">. </w:t>
      </w:r>
      <w:r w:rsidRPr="00815B3E">
        <w:rPr>
          <w:rFonts w:eastAsia="Calibri" w:cs="Times New Roman"/>
          <w:bCs/>
          <w:color w:val="000000" w:themeColor="text1"/>
          <w:szCs w:val="24"/>
        </w:rPr>
        <w:t>Ejendomme, der erhverves ved en skattefri fusion, spaltning eller tilførsel af aktiver, og som udlejes i overvejende omfang, overgår til lagerbeskatning med virkning fra fusionsdatoen, jf. fusionsskattelovens § 5, hvis betingelserne i § 14 er opfyldt i det indkomstår, hvor erhvervelsen finder sted. Hvis selskaberne ikke har samme skattemæssige fusionsdato, har overgangen til lagerbeskatning virkning fra fusionsdatoen for det selskab, hvorfra ejendommen indskydes.</w:t>
      </w:r>
    </w:p>
    <w:p w14:paraId="37CA6A16" w14:textId="77777777" w:rsidR="00223DF9" w:rsidRPr="00815B3E" w:rsidRDefault="00223DF9" w:rsidP="00223DF9">
      <w:pPr>
        <w:ind w:firstLine="284"/>
        <w:rPr>
          <w:rFonts w:eastAsia="Calibri" w:cs="Times New Roman"/>
          <w:bCs/>
          <w:color w:val="000000" w:themeColor="text1"/>
          <w:szCs w:val="24"/>
        </w:rPr>
      </w:pPr>
    </w:p>
    <w:p w14:paraId="6B54B205" w14:textId="2C801C9A" w:rsidR="00223DF9" w:rsidRPr="00815B3E" w:rsidRDefault="00223DF9" w:rsidP="00223DF9">
      <w:pPr>
        <w:ind w:firstLine="284"/>
        <w:rPr>
          <w:rFonts w:eastAsia="Calibri" w:cs="Times New Roman"/>
          <w:bCs/>
          <w:color w:val="000000" w:themeColor="text1"/>
          <w:szCs w:val="24"/>
        </w:rPr>
      </w:pPr>
      <w:r w:rsidRPr="00815B3E">
        <w:rPr>
          <w:rFonts w:eastAsia="Calibri" w:cs="Times New Roman"/>
          <w:b/>
          <w:color w:val="000000" w:themeColor="text1"/>
          <w:szCs w:val="24"/>
        </w:rPr>
        <w:lastRenderedPageBreak/>
        <w:t xml:space="preserve">§ 14 C. </w:t>
      </w:r>
      <w:r w:rsidRPr="00815B3E">
        <w:rPr>
          <w:rFonts w:eastAsia="Calibri" w:cs="Times New Roman"/>
          <w:bCs/>
          <w:color w:val="000000" w:themeColor="text1"/>
          <w:szCs w:val="24"/>
        </w:rPr>
        <w:t>Ved overgang fra realisationsbeskatning til lagerbeskatning, jf. § 14 B, anses ejendommen for afstået til handelsværdien</w:t>
      </w:r>
      <w:r w:rsidR="00390E5A" w:rsidRPr="00390E5A">
        <w:rPr>
          <w:rFonts w:eastAsia="Calibri" w:cs="Times New Roman"/>
          <w:bCs/>
          <w:color w:val="000000" w:themeColor="text1"/>
          <w:szCs w:val="24"/>
        </w:rPr>
        <w:t xml:space="preserve"> </w:t>
      </w:r>
      <w:r w:rsidR="00390E5A" w:rsidRPr="00815B3E">
        <w:rPr>
          <w:rFonts w:eastAsia="Calibri" w:cs="Times New Roman"/>
          <w:bCs/>
          <w:color w:val="000000" w:themeColor="text1"/>
          <w:szCs w:val="24"/>
        </w:rPr>
        <w:t>på overgangstidspunktet</w:t>
      </w:r>
      <w:r w:rsidR="00390E5A">
        <w:rPr>
          <w:rFonts w:eastAsia="Calibri" w:cs="Times New Roman"/>
          <w:bCs/>
          <w:color w:val="000000" w:themeColor="text1"/>
          <w:szCs w:val="24"/>
        </w:rPr>
        <w:t>. Denne handelsværdi</w:t>
      </w:r>
      <w:r w:rsidR="00390E5A" w:rsidRPr="00390E5A">
        <w:rPr>
          <w:rFonts w:eastAsia="Calibri" w:cs="Times New Roman"/>
          <w:bCs/>
          <w:color w:val="000000" w:themeColor="text1"/>
          <w:szCs w:val="24"/>
        </w:rPr>
        <w:t xml:space="preserve"> udgør indgangsværdien ved overgangen til lagerbeskatning</w:t>
      </w:r>
      <w:r w:rsidR="00390E5A">
        <w:rPr>
          <w:rFonts w:eastAsia="Calibri" w:cs="Times New Roman"/>
          <w:bCs/>
          <w:color w:val="000000" w:themeColor="text1"/>
          <w:szCs w:val="24"/>
        </w:rPr>
        <w:t>.</w:t>
      </w:r>
      <w:r w:rsidRPr="00815B3E">
        <w:rPr>
          <w:rFonts w:eastAsia="Calibri" w:cs="Times New Roman"/>
          <w:bCs/>
          <w:color w:val="000000" w:themeColor="text1"/>
          <w:szCs w:val="24"/>
        </w:rPr>
        <w:t xml:space="preserve"> </w:t>
      </w:r>
    </w:p>
    <w:p w14:paraId="2B3E6D78" w14:textId="77777777" w:rsidR="00223DF9" w:rsidRPr="00815B3E" w:rsidRDefault="00223DF9" w:rsidP="00223DF9">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Stk. 2. </w:t>
      </w:r>
      <w:r w:rsidRPr="00815B3E">
        <w:rPr>
          <w:rFonts w:eastAsia="Calibri" w:cs="Times New Roman"/>
          <w:bCs/>
          <w:color w:val="000000" w:themeColor="text1"/>
          <w:szCs w:val="24"/>
        </w:rPr>
        <w:t>Den opgjorte indgangsværdi anvendes som anskaffelsessum i forhold til lagerbeskatningen, jf. § 14 A.</w:t>
      </w:r>
    </w:p>
    <w:p w14:paraId="14FA4D9E" w14:textId="321C546D" w:rsidR="00223DF9" w:rsidRPr="00815B3E" w:rsidRDefault="00223DF9" w:rsidP="00223DF9">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Stk. 3. </w:t>
      </w:r>
      <w:r w:rsidRPr="00815B3E">
        <w:rPr>
          <w:rFonts w:eastAsia="Calibri" w:cs="Times New Roman"/>
          <w:bCs/>
          <w:color w:val="000000" w:themeColor="text1"/>
          <w:szCs w:val="24"/>
        </w:rPr>
        <w:t xml:space="preserve">Den opgjorte indgangsværdi anvendes endvidere som afståelsessum i forhold </w:t>
      </w:r>
      <w:r w:rsidR="001D5ED5" w:rsidRPr="00815B3E">
        <w:rPr>
          <w:rFonts w:eastAsia="Calibri" w:cs="Times New Roman"/>
          <w:bCs/>
          <w:color w:val="000000" w:themeColor="text1"/>
          <w:szCs w:val="24"/>
        </w:rPr>
        <w:t xml:space="preserve">til beskatning af genvundne afskrivninger eller tab efter afskrivningsloven og i forhold </w:t>
      </w:r>
      <w:r w:rsidRPr="00815B3E">
        <w:rPr>
          <w:rFonts w:eastAsia="Calibri" w:cs="Times New Roman"/>
          <w:bCs/>
          <w:color w:val="000000" w:themeColor="text1"/>
          <w:szCs w:val="24"/>
        </w:rPr>
        <w:t xml:space="preserve">til realisationsbeskatning af ejendommen efter kapitel 2 </w:t>
      </w:r>
      <w:r w:rsidR="001D5ED5" w:rsidRPr="00815B3E">
        <w:rPr>
          <w:rFonts w:eastAsia="Calibri" w:cs="Times New Roman"/>
          <w:bCs/>
          <w:color w:val="000000" w:themeColor="text1"/>
          <w:szCs w:val="24"/>
        </w:rPr>
        <w:t xml:space="preserve">eller </w:t>
      </w:r>
      <w:r w:rsidRPr="00815B3E">
        <w:rPr>
          <w:rFonts w:eastAsia="Calibri" w:cs="Times New Roman"/>
          <w:bCs/>
          <w:color w:val="000000" w:themeColor="text1"/>
          <w:szCs w:val="24"/>
        </w:rPr>
        <w:t>i forhold til beskatning som næringsejendom efter statsskatteloven. Fortjeneste eller tab efter 1. pkt. medregnes dog først ved opgørelsen af den skattepligtige indkomst for det indkomstår, hvor ejendommens egentlige afståelse finder sted, jf. dog § 14 D.</w:t>
      </w:r>
    </w:p>
    <w:p w14:paraId="618062A4" w14:textId="77777777" w:rsidR="00223DF9" w:rsidRPr="00815B3E" w:rsidRDefault="00223DF9" w:rsidP="00223DF9">
      <w:pPr>
        <w:ind w:firstLine="284"/>
        <w:rPr>
          <w:rFonts w:eastAsia="Calibri" w:cs="Times New Roman"/>
          <w:bCs/>
          <w:color w:val="000000" w:themeColor="text1"/>
          <w:szCs w:val="24"/>
        </w:rPr>
      </w:pPr>
    </w:p>
    <w:p w14:paraId="155508EB" w14:textId="77777777" w:rsidR="00223DF9" w:rsidRPr="00815B3E" w:rsidRDefault="00223DF9" w:rsidP="00223DF9">
      <w:pPr>
        <w:ind w:firstLine="284"/>
        <w:rPr>
          <w:rFonts w:eastAsia="Calibri" w:cs="Times New Roman"/>
          <w:bCs/>
          <w:color w:val="000000" w:themeColor="text1"/>
          <w:szCs w:val="24"/>
        </w:rPr>
      </w:pPr>
      <w:r w:rsidRPr="00815B3E">
        <w:rPr>
          <w:rFonts w:eastAsia="Calibri" w:cs="Times New Roman"/>
          <w:b/>
          <w:color w:val="000000" w:themeColor="text1"/>
          <w:szCs w:val="24"/>
        </w:rPr>
        <w:t xml:space="preserve">§ 14 D. </w:t>
      </w:r>
      <w:r w:rsidRPr="00815B3E">
        <w:rPr>
          <w:rFonts w:eastAsia="Calibri" w:cs="Times New Roman"/>
          <w:bCs/>
          <w:color w:val="000000" w:themeColor="text1"/>
          <w:szCs w:val="24"/>
        </w:rPr>
        <w:t>Den skattepligtige skal for hver ejendom, der overgår fra realisationsbeskatning til lagerbeskatning, føre en realisationssaldo, der indeholder den samlede nettogevinst (positiv realisationssaldo) eller det samlede nettotab (negativ realisationssaldo) opgjort efter § 14 C, stk. 3.</w:t>
      </w:r>
    </w:p>
    <w:p w14:paraId="7A43E2F4" w14:textId="06E7A6D0" w:rsidR="00223DF9" w:rsidRPr="00815B3E" w:rsidRDefault="00223DF9" w:rsidP="00223DF9">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Stk. 2. </w:t>
      </w:r>
      <w:r w:rsidRPr="00815B3E">
        <w:rPr>
          <w:rFonts w:eastAsia="Calibri" w:cs="Times New Roman"/>
          <w:bCs/>
          <w:color w:val="000000" w:themeColor="text1"/>
          <w:szCs w:val="24"/>
        </w:rPr>
        <w:t>Hvis realisationssaldoen er positiv, modregnes</w:t>
      </w:r>
      <w:r w:rsidR="00F540F9" w:rsidRPr="00815B3E">
        <w:rPr>
          <w:rFonts w:eastAsia="Calibri" w:cs="Times New Roman"/>
          <w:bCs/>
          <w:color w:val="000000" w:themeColor="text1"/>
          <w:szCs w:val="24"/>
        </w:rPr>
        <w:t xml:space="preserve"> den</w:t>
      </w:r>
      <w:r w:rsidR="00D505EB" w:rsidRPr="00815B3E">
        <w:rPr>
          <w:rFonts w:eastAsia="Calibri" w:cs="Times New Roman"/>
          <w:bCs/>
          <w:color w:val="000000" w:themeColor="text1"/>
          <w:szCs w:val="24"/>
        </w:rPr>
        <w:t xml:space="preserve"> i</w:t>
      </w:r>
      <w:r w:rsidRPr="00815B3E">
        <w:rPr>
          <w:rFonts w:eastAsia="Calibri" w:cs="Times New Roman"/>
          <w:bCs/>
          <w:color w:val="000000" w:themeColor="text1"/>
          <w:szCs w:val="24"/>
        </w:rPr>
        <w:t xml:space="preserve"> indkomstårets </w:t>
      </w:r>
      <w:r w:rsidR="00D505EB" w:rsidRPr="00815B3E">
        <w:rPr>
          <w:rFonts w:eastAsia="Calibri" w:cs="Times New Roman"/>
          <w:bCs/>
          <w:color w:val="000000" w:themeColor="text1"/>
          <w:szCs w:val="24"/>
        </w:rPr>
        <w:t xml:space="preserve">eventuelle </w:t>
      </w:r>
      <w:r w:rsidRPr="00815B3E">
        <w:rPr>
          <w:rFonts w:eastAsia="Calibri" w:cs="Times New Roman"/>
          <w:bCs/>
          <w:color w:val="000000" w:themeColor="text1"/>
          <w:szCs w:val="24"/>
        </w:rPr>
        <w:t>tab på ejendommen opgjort efter lagerprincippet, jf. § 14 A. Alene den del af tabet</w:t>
      </w:r>
      <w:r w:rsidR="00D505EB" w:rsidRPr="00815B3E">
        <w:rPr>
          <w:rFonts w:eastAsia="Calibri" w:cs="Times New Roman"/>
          <w:bCs/>
          <w:color w:val="000000" w:themeColor="text1"/>
          <w:szCs w:val="24"/>
        </w:rPr>
        <w:t xml:space="preserve"> på ejendommen</w:t>
      </w:r>
      <w:r w:rsidRPr="00815B3E">
        <w:rPr>
          <w:rFonts w:eastAsia="Calibri" w:cs="Times New Roman"/>
          <w:bCs/>
          <w:color w:val="000000" w:themeColor="text1"/>
          <w:szCs w:val="24"/>
        </w:rPr>
        <w:t xml:space="preserve">, der </w:t>
      </w:r>
      <w:r w:rsidR="00F540F9" w:rsidRPr="00815B3E">
        <w:rPr>
          <w:rFonts w:eastAsia="Calibri" w:cs="Times New Roman"/>
          <w:bCs/>
          <w:color w:val="000000" w:themeColor="text1"/>
          <w:szCs w:val="24"/>
        </w:rPr>
        <w:t>resterer efter modregning</w:t>
      </w:r>
      <w:r w:rsidRPr="00815B3E">
        <w:rPr>
          <w:rFonts w:eastAsia="Calibri" w:cs="Times New Roman"/>
          <w:bCs/>
          <w:color w:val="000000" w:themeColor="text1"/>
          <w:szCs w:val="24"/>
        </w:rPr>
        <w:t>, kan fratrækkes ved opgørelsen af den skattepligtige indkomst. Hvis realisationssaldoen efter årets modregning fortsat er positiv, fremføres den positive restsaldo til efterfølgende indkomstår. En positiv saldo kan alene fremføres til et senere indkomstår, i det omfang den ikke kan rummes i et tidligere års tab. Hvis saldoen fortsat er positiv efter afståelse af ejendommen, medregnes et beløb svarende til den positive restsaldo ved opgørelsen af den skattepligtige indkomst i afståelsesåret.</w:t>
      </w:r>
    </w:p>
    <w:p w14:paraId="1966A4B4" w14:textId="07CA99C2" w:rsidR="00223DF9" w:rsidRPr="00815B3E" w:rsidRDefault="00223DF9" w:rsidP="00223DF9">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Stk. 3. </w:t>
      </w:r>
      <w:r w:rsidRPr="00815B3E">
        <w:rPr>
          <w:rFonts w:eastAsia="Calibri" w:cs="Times New Roman"/>
          <w:bCs/>
          <w:color w:val="000000" w:themeColor="text1"/>
          <w:szCs w:val="24"/>
        </w:rPr>
        <w:t>Hvis realisationssaldoen er negativ, modregnes</w:t>
      </w:r>
      <w:r w:rsidR="00D505EB" w:rsidRPr="00815B3E">
        <w:rPr>
          <w:rFonts w:eastAsia="Calibri" w:cs="Times New Roman"/>
          <w:bCs/>
          <w:color w:val="000000" w:themeColor="text1"/>
          <w:szCs w:val="24"/>
        </w:rPr>
        <w:t xml:space="preserve"> </w:t>
      </w:r>
      <w:r w:rsidR="00F540F9" w:rsidRPr="00815B3E">
        <w:rPr>
          <w:rFonts w:eastAsia="Calibri" w:cs="Times New Roman"/>
          <w:bCs/>
          <w:color w:val="000000" w:themeColor="text1"/>
          <w:szCs w:val="24"/>
        </w:rPr>
        <w:t>den</w:t>
      </w:r>
      <w:r w:rsidR="00D505EB" w:rsidRPr="00815B3E">
        <w:rPr>
          <w:rFonts w:eastAsia="Calibri" w:cs="Times New Roman"/>
          <w:bCs/>
          <w:color w:val="000000" w:themeColor="text1"/>
          <w:szCs w:val="24"/>
        </w:rPr>
        <w:t xml:space="preserve"> i</w:t>
      </w:r>
      <w:r w:rsidRPr="00815B3E">
        <w:rPr>
          <w:rFonts w:eastAsia="Calibri" w:cs="Times New Roman"/>
          <w:bCs/>
          <w:color w:val="000000" w:themeColor="text1"/>
          <w:szCs w:val="24"/>
        </w:rPr>
        <w:t xml:space="preserve"> indkomstårets fortjeneste på ejendommen opgjort efter lagerprincippet, jf. § 14 A. Alene den del af fortjenesten</w:t>
      </w:r>
      <w:r w:rsidR="00D505EB" w:rsidRPr="00815B3E">
        <w:rPr>
          <w:rFonts w:eastAsia="Calibri" w:cs="Times New Roman"/>
          <w:bCs/>
          <w:color w:val="000000" w:themeColor="text1"/>
          <w:szCs w:val="24"/>
        </w:rPr>
        <w:t xml:space="preserve"> på ejendommen</w:t>
      </w:r>
      <w:r w:rsidRPr="00815B3E">
        <w:rPr>
          <w:rFonts w:eastAsia="Calibri" w:cs="Times New Roman"/>
          <w:bCs/>
          <w:color w:val="000000" w:themeColor="text1"/>
          <w:szCs w:val="24"/>
        </w:rPr>
        <w:t xml:space="preserve">, som </w:t>
      </w:r>
      <w:r w:rsidR="00F540F9" w:rsidRPr="00815B3E">
        <w:rPr>
          <w:rFonts w:eastAsia="Calibri" w:cs="Times New Roman"/>
          <w:bCs/>
          <w:color w:val="000000" w:themeColor="text1"/>
          <w:szCs w:val="24"/>
        </w:rPr>
        <w:t>resterer efter modregning</w:t>
      </w:r>
      <w:r w:rsidRPr="00815B3E">
        <w:rPr>
          <w:rFonts w:eastAsia="Calibri" w:cs="Times New Roman"/>
          <w:bCs/>
          <w:color w:val="000000" w:themeColor="text1"/>
          <w:szCs w:val="24"/>
        </w:rPr>
        <w:t xml:space="preserve">, medregnes ved opgørelsen af den skattepligtige indkomst. Hvis realisationssaldoen efter årets modregning fortsat er negativ, fremføres restsaldoen til efterfølgende indkomstår. En negativ saldo kan alene fremføres til et senere indkomstår, i det omfang den ikke kan rummes i et tidligere års fortjeneste. Hvis saldoen fortsat er negativ ved afståelse af ejendommen, fratrækkes et beløb svarende til den negative restsaldo ved opgørelsen af den skattepligtige indkomst i afståelsesåret. </w:t>
      </w:r>
    </w:p>
    <w:p w14:paraId="11C93CD3" w14:textId="77777777" w:rsidR="00223DF9" w:rsidRPr="00815B3E" w:rsidRDefault="00223DF9" w:rsidP="00223DF9">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 </w:t>
      </w:r>
    </w:p>
    <w:p w14:paraId="702F1D4D" w14:textId="1E6EE3A1" w:rsidR="00223DF9" w:rsidRPr="00255CB9" w:rsidRDefault="00223DF9" w:rsidP="00255CB9">
      <w:pPr>
        <w:jc w:val="center"/>
        <w:rPr>
          <w:rFonts w:eastAsia="Calibri" w:cs="Times New Roman"/>
          <w:bCs/>
          <w:i/>
          <w:iCs/>
          <w:color w:val="000000" w:themeColor="text1"/>
          <w:szCs w:val="24"/>
        </w:rPr>
      </w:pPr>
      <w:r w:rsidRPr="00255CB9">
        <w:rPr>
          <w:rFonts w:eastAsia="Calibri" w:cs="Times New Roman"/>
          <w:bCs/>
          <w:i/>
          <w:iCs/>
          <w:color w:val="000000" w:themeColor="text1"/>
          <w:szCs w:val="24"/>
        </w:rPr>
        <w:t>Kap</w:t>
      </w:r>
      <w:r w:rsidR="00CE1D17" w:rsidRPr="00255CB9">
        <w:rPr>
          <w:rFonts w:eastAsia="Calibri" w:cs="Times New Roman"/>
          <w:bCs/>
          <w:i/>
          <w:iCs/>
          <w:color w:val="000000" w:themeColor="text1"/>
          <w:szCs w:val="24"/>
        </w:rPr>
        <w:t>itel</w:t>
      </w:r>
      <w:r w:rsidRPr="00255CB9">
        <w:rPr>
          <w:rFonts w:eastAsia="Calibri" w:cs="Times New Roman"/>
          <w:bCs/>
          <w:i/>
          <w:iCs/>
          <w:color w:val="000000" w:themeColor="text1"/>
          <w:szCs w:val="24"/>
        </w:rPr>
        <w:t xml:space="preserve"> 4. Ikrafttrædelse m.v.</w:t>
      </w:r>
      <w:r w:rsidRPr="005D57A9">
        <w:rPr>
          <w:rFonts w:cs="Times New Roman"/>
          <w:bCs/>
          <w:color w:val="000000" w:themeColor="text1"/>
          <w:szCs w:val="24"/>
        </w:rPr>
        <w:t>«</w:t>
      </w:r>
    </w:p>
    <w:p w14:paraId="072E2051" w14:textId="6E49AFA3" w:rsidR="00A75964" w:rsidRDefault="00A75964" w:rsidP="00223DF9">
      <w:pPr>
        <w:rPr>
          <w:rFonts w:eastAsia="Calibri" w:cs="Times New Roman"/>
          <w:b/>
          <w:color w:val="000000" w:themeColor="text1"/>
          <w:szCs w:val="24"/>
        </w:rPr>
      </w:pPr>
    </w:p>
    <w:p w14:paraId="7BFB748D" w14:textId="28250CFC" w:rsidR="00676E9F" w:rsidRPr="00815B3E" w:rsidRDefault="00676E9F" w:rsidP="00676E9F">
      <w:pPr>
        <w:jc w:val="center"/>
        <w:rPr>
          <w:rFonts w:eastAsia="Calibri" w:cs="Times New Roman"/>
          <w:b/>
          <w:color w:val="000000" w:themeColor="text1"/>
          <w:szCs w:val="24"/>
        </w:rPr>
      </w:pPr>
      <w:r w:rsidRPr="00815B3E">
        <w:rPr>
          <w:rFonts w:eastAsia="Calibri" w:cs="Times New Roman"/>
          <w:b/>
          <w:color w:val="000000" w:themeColor="text1"/>
          <w:szCs w:val="24"/>
        </w:rPr>
        <w:lastRenderedPageBreak/>
        <w:t xml:space="preserve">§ </w:t>
      </w:r>
      <w:r>
        <w:rPr>
          <w:rFonts w:eastAsia="Calibri" w:cs="Times New Roman"/>
          <w:b/>
          <w:color w:val="000000" w:themeColor="text1"/>
          <w:szCs w:val="24"/>
        </w:rPr>
        <w:t>2</w:t>
      </w:r>
    </w:p>
    <w:p w14:paraId="78B34D24" w14:textId="77777777" w:rsidR="00676E9F" w:rsidRPr="00815B3E" w:rsidRDefault="00676E9F" w:rsidP="00676E9F">
      <w:pPr>
        <w:jc w:val="center"/>
        <w:rPr>
          <w:rFonts w:eastAsia="Calibri" w:cs="Times New Roman"/>
          <w:color w:val="000000" w:themeColor="text1"/>
          <w:szCs w:val="24"/>
        </w:rPr>
      </w:pPr>
    </w:p>
    <w:p w14:paraId="11A34B1A" w14:textId="77777777" w:rsidR="00676E9F" w:rsidRPr="00815B3E" w:rsidRDefault="00676E9F" w:rsidP="00676E9F">
      <w:pPr>
        <w:rPr>
          <w:rFonts w:eastAsia="Calibri" w:cs="Times New Roman"/>
          <w:color w:val="000000" w:themeColor="text1"/>
          <w:szCs w:val="24"/>
        </w:rPr>
      </w:pPr>
      <w:r w:rsidRPr="00815B3E">
        <w:rPr>
          <w:rFonts w:eastAsia="Calibri" w:cs="Times New Roman"/>
          <w:color w:val="000000" w:themeColor="text1"/>
          <w:szCs w:val="24"/>
        </w:rPr>
        <w:t xml:space="preserve">I afskrivningsloven, jf. lovbekendtgørelse nr. 242 af 18. februar 2021, som ændret ved </w:t>
      </w:r>
      <w:r>
        <w:rPr>
          <w:rFonts w:eastAsia="Calibri" w:cs="Times New Roman"/>
          <w:color w:val="000000" w:themeColor="text1"/>
          <w:szCs w:val="24"/>
        </w:rPr>
        <w:t xml:space="preserve">§ 1 i </w:t>
      </w:r>
      <w:r w:rsidRPr="00815B3E">
        <w:rPr>
          <w:rFonts w:eastAsia="Calibri" w:cs="Times New Roman"/>
          <w:color w:val="000000" w:themeColor="text1"/>
          <w:szCs w:val="24"/>
        </w:rPr>
        <w:t xml:space="preserve">lov nr. </w:t>
      </w:r>
      <w:r>
        <w:rPr>
          <w:rFonts w:eastAsia="Calibri" w:cs="Times New Roman"/>
          <w:color w:val="000000" w:themeColor="text1"/>
          <w:szCs w:val="24"/>
        </w:rPr>
        <w:t>672 af 19. april 2021 og § 1 i lov nr. 2193 af 30. november 2021</w:t>
      </w:r>
      <w:r w:rsidRPr="00815B3E">
        <w:rPr>
          <w:rFonts w:eastAsia="Calibri" w:cs="Times New Roman"/>
          <w:color w:val="000000" w:themeColor="text1"/>
          <w:szCs w:val="24"/>
        </w:rPr>
        <w:t>, foretages følgende ændring:</w:t>
      </w:r>
    </w:p>
    <w:p w14:paraId="4084E303" w14:textId="77777777" w:rsidR="00676E9F" w:rsidRPr="00815B3E" w:rsidRDefault="00676E9F" w:rsidP="00676E9F">
      <w:pPr>
        <w:rPr>
          <w:rFonts w:eastAsia="Calibri" w:cs="Times New Roman"/>
          <w:color w:val="000000" w:themeColor="text1"/>
          <w:szCs w:val="24"/>
        </w:rPr>
      </w:pPr>
    </w:p>
    <w:p w14:paraId="4505B744" w14:textId="77777777" w:rsidR="00676E9F" w:rsidRPr="00815B3E" w:rsidRDefault="00676E9F" w:rsidP="00676E9F">
      <w:pPr>
        <w:rPr>
          <w:rFonts w:cs="Times New Roman"/>
          <w:color w:val="000000" w:themeColor="text1"/>
          <w:szCs w:val="24"/>
        </w:rPr>
      </w:pPr>
      <w:r w:rsidRPr="00815B3E">
        <w:rPr>
          <w:rFonts w:cs="Times New Roman"/>
          <w:b/>
          <w:color w:val="000000" w:themeColor="text1"/>
          <w:szCs w:val="24"/>
        </w:rPr>
        <w:t>1.</w:t>
      </w:r>
      <w:r w:rsidRPr="00815B3E">
        <w:rPr>
          <w:rFonts w:cs="Times New Roman"/>
          <w:color w:val="000000" w:themeColor="text1"/>
          <w:szCs w:val="24"/>
        </w:rPr>
        <w:t xml:space="preserve"> I </w:t>
      </w:r>
      <w:r w:rsidRPr="00815B3E">
        <w:rPr>
          <w:rFonts w:cs="Times New Roman"/>
          <w:i/>
          <w:iCs/>
          <w:color w:val="000000" w:themeColor="text1"/>
          <w:szCs w:val="24"/>
        </w:rPr>
        <w:t>§ 1</w:t>
      </w:r>
      <w:r w:rsidRPr="00815B3E">
        <w:rPr>
          <w:rFonts w:cs="Times New Roman"/>
          <w:color w:val="000000" w:themeColor="text1"/>
          <w:szCs w:val="24"/>
        </w:rPr>
        <w:t xml:space="preserve"> indsættes som</w:t>
      </w:r>
      <w:r>
        <w:rPr>
          <w:rFonts w:cs="Times New Roman"/>
          <w:color w:val="000000" w:themeColor="text1"/>
          <w:szCs w:val="24"/>
        </w:rPr>
        <w:t xml:space="preserve"> </w:t>
      </w:r>
      <w:r>
        <w:rPr>
          <w:rFonts w:cs="Times New Roman"/>
          <w:i/>
          <w:iCs/>
          <w:color w:val="000000" w:themeColor="text1"/>
          <w:szCs w:val="24"/>
        </w:rPr>
        <w:t>stk. 2</w:t>
      </w:r>
      <w:r w:rsidRPr="00815B3E">
        <w:rPr>
          <w:rFonts w:cs="Times New Roman"/>
          <w:color w:val="000000" w:themeColor="text1"/>
          <w:szCs w:val="24"/>
        </w:rPr>
        <w:t>:</w:t>
      </w:r>
    </w:p>
    <w:p w14:paraId="075488FE" w14:textId="77777777" w:rsidR="00676E9F" w:rsidRPr="00815B3E" w:rsidRDefault="00676E9F" w:rsidP="00676E9F">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”Stk. 2.  </w:t>
      </w:r>
      <w:r w:rsidRPr="00815B3E">
        <w:rPr>
          <w:rFonts w:eastAsia="Calibri" w:cs="Times New Roman"/>
          <w:bCs/>
          <w:color w:val="000000" w:themeColor="text1"/>
          <w:szCs w:val="24"/>
        </w:rPr>
        <w:t>Der kan ikke foretages skattemæssig afskrivning på udgifter til anskaffelse, ombygning eller forbedring af aktiver vedrørende ejendomme, der lagerbeskattes efter ejendomsavancebeskatningslovens kapitel 3.”</w:t>
      </w:r>
    </w:p>
    <w:p w14:paraId="449AB1D2" w14:textId="7DA49888" w:rsidR="00676E9F" w:rsidRDefault="00676E9F" w:rsidP="00223DF9">
      <w:pPr>
        <w:rPr>
          <w:rFonts w:eastAsia="Calibri" w:cs="Times New Roman"/>
          <w:b/>
          <w:color w:val="000000" w:themeColor="text1"/>
          <w:szCs w:val="24"/>
        </w:rPr>
      </w:pPr>
    </w:p>
    <w:p w14:paraId="3F4B626E" w14:textId="404C4945" w:rsidR="00D2441C" w:rsidRPr="003B278F" w:rsidRDefault="00D2441C" w:rsidP="00223DF9">
      <w:pPr>
        <w:rPr>
          <w:rFonts w:eastAsia="Calibri" w:cs="Times New Roman"/>
          <w:b/>
          <w:color w:val="000000" w:themeColor="text1"/>
          <w:szCs w:val="24"/>
        </w:rPr>
      </w:pPr>
    </w:p>
    <w:p w14:paraId="6053F3BF" w14:textId="060EC769" w:rsidR="00965143" w:rsidRPr="00815B3E" w:rsidRDefault="00965143" w:rsidP="00965143">
      <w:pPr>
        <w:jc w:val="center"/>
        <w:rPr>
          <w:color w:val="000000" w:themeColor="text1"/>
        </w:rPr>
      </w:pPr>
      <w:r w:rsidRPr="00815B3E">
        <w:rPr>
          <w:b/>
          <w:color w:val="000000" w:themeColor="text1"/>
        </w:rPr>
        <w:t xml:space="preserve">§ </w:t>
      </w:r>
      <w:r>
        <w:rPr>
          <w:b/>
          <w:color w:val="000000" w:themeColor="text1"/>
        </w:rPr>
        <w:t>3</w:t>
      </w:r>
    </w:p>
    <w:p w14:paraId="0FBAE219" w14:textId="77777777" w:rsidR="00965143" w:rsidRPr="00815B3E" w:rsidRDefault="00965143" w:rsidP="00965143">
      <w:pPr>
        <w:jc w:val="center"/>
        <w:rPr>
          <w:color w:val="000000" w:themeColor="text1"/>
        </w:rPr>
      </w:pPr>
    </w:p>
    <w:p w14:paraId="0F80884A" w14:textId="5B6F4CFE" w:rsidR="00965143" w:rsidRPr="00815B3E" w:rsidRDefault="00965143" w:rsidP="00965143">
      <w:pPr>
        <w:spacing w:line="288" w:lineRule="auto"/>
        <w:rPr>
          <w:b/>
          <w:i/>
          <w:color w:val="000000" w:themeColor="text1"/>
          <w:u w:val="single"/>
        </w:rPr>
      </w:pPr>
      <w:r w:rsidRPr="00815B3E">
        <w:rPr>
          <w:color w:val="000000" w:themeColor="text1"/>
        </w:rPr>
        <w:t xml:space="preserve">I investorfradragsloven, </w:t>
      </w:r>
      <w:r w:rsidR="00701DD7">
        <w:rPr>
          <w:color w:val="000000" w:themeColor="text1"/>
        </w:rPr>
        <w:t xml:space="preserve">jf. </w:t>
      </w:r>
      <w:r w:rsidRPr="00815B3E">
        <w:rPr>
          <w:color w:val="000000" w:themeColor="text1"/>
        </w:rPr>
        <w:t>lov nr. 1707 af 27. december 2018, foretages følgende ændringer:</w:t>
      </w:r>
    </w:p>
    <w:p w14:paraId="50F942FE" w14:textId="77777777" w:rsidR="00965143" w:rsidRPr="00815B3E" w:rsidRDefault="00965143" w:rsidP="00965143">
      <w:pPr>
        <w:spacing w:line="288" w:lineRule="auto"/>
        <w:rPr>
          <w:color w:val="000000" w:themeColor="text1"/>
        </w:rPr>
      </w:pPr>
    </w:p>
    <w:p w14:paraId="058BE863" w14:textId="77777777" w:rsidR="00965143" w:rsidRPr="00815B3E" w:rsidRDefault="00965143" w:rsidP="00965143">
      <w:pPr>
        <w:spacing w:line="288" w:lineRule="auto"/>
        <w:rPr>
          <w:color w:val="000000" w:themeColor="text1"/>
        </w:rPr>
      </w:pPr>
      <w:r w:rsidRPr="00815B3E">
        <w:rPr>
          <w:b/>
          <w:color w:val="000000" w:themeColor="text1"/>
        </w:rPr>
        <w:t xml:space="preserve">1. </w:t>
      </w:r>
      <w:r w:rsidRPr="00815B3E">
        <w:rPr>
          <w:color w:val="000000" w:themeColor="text1"/>
        </w:rPr>
        <w:t xml:space="preserve">I </w:t>
      </w:r>
      <w:r w:rsidRPr="00815B3E">
        <w:rPr>
          <w:i/>
          <w:color w:val="000000" w:themeColor="text1"/>
        </w:rPr>
        <w:t xml:space="preserve">§ 7, stk. 2, 1. pkt., </w:t>
      </w:r>
      <w:r w:rsidRPr="00815B3E">
        <w:rPr>
          <w:color w:val="000000" w:themeColor="text1"/>
        </w:rPr>
        <w:t xml:space="preserve">udgår ”i hvert af indkomstårene 2019-2022 og 800.000 kr. i 2023 og senere indkomstår.” </w:t>
      </w:r>
    </w:p>
    <w:p w14:paraId="635ED6D5" w14:textId="77777777" w:rsidR="00965143" w:rsidRPr="00815B3E" w:rsidRDefault="00965143" w:rsidP="00965143">
      <w:pPr>
        <w:spacing w:line="288" w:lineRule="auto"/>
        <w:rPr>
          <w:color w:val="000000" w:themeColor="text1"/>
        </w:rPr>
      </w:pPr>
    </w:p>
    <w:p w14:paraId="2AD8BDDD" w14:textId="6683A7E1" w:rsidR="00965143" w:rsidRDefault="00965143" w:rsidP="00255CB9">
      <w:pPr>
        <w:rPr>
          <w:rFonts w:eastAsia="Calibri" w:cs="Times New Roman"/>
          <w:b/>
          <w:color w:val="000000" w:themeColor="text1"/>
          <w:szCs w:val="24"/>
        </w:rPr>
      </w:pPr>
      <w:r w:rsidRPr="00815B3E">
        <w:rPr>
          <w:b/>
          <w:bCs/>
          <w:color w:val="000000" w:themeColor="text1"/>
        </w:rPr>
        <w:t xml:space="preserve">2. </w:t>
      </w:r>
      <w:r w:rsidRPr="00815B3E">
        <w:rPr>
          <w:color w:val="000000" w:themeColor="text1"/>
        </w:rPr>
        <w:t xml:space="preserve">I </w:t>
      </w:r>
      <w:r w:rsidRPr="00815B3E">
        <w:rPr>
          <w:i/>
          <w:iCs/>
          <w:color w:val="000000" w:themeColor="text1"/>
        </w:rPr>
        <w:t xml:space="preserve">§ 7, stk. 2, 2. pkt., </w:t>
      </w:r>
      <w:r w:rsidRPr="00815B3E">
        <w:rPr>
          <w:color w:val="000000" w:themeColor="text1"/>
        </w:rPr>
        <w:t>udgår ”i hvert af indkomstårene 2019-2022 og 250.000 i 2023 og senere indkomstår.”</w:t>
      </w:r>
    </w:p>
    <w:p w14:paraId="63CC5766" w14:textId="77777777" w:rsidR="00965143" w:rsidRDefault="00965143">
      <w:pPr>
        <w:ind w:firstLine="284"/>
        <w:rPr>
          <w:rFonts w:eastAsia="Calibri" w:cs="Times New Roman"/>
          <w:b/>
          <w:color w:val="000000" w:themeColor="text1"/>
          <w:szCs w:val="24"/>
        </w:rPr>
      </w:pPr>
    </w:p>
    <w:p w14:paraId="73E62CDC" w14:textId="77777777" w:rsidR="00965143" w:rsidRPr="00815B3E" w:rsidRDefault="00965143" w:rsidP="00A75964">
      <w:pPr>
        <w:ind w:firstLine="284"/>
        <w:rPr>
          <w:rFonts w:eastAsia="Calibri" w:cs="Times New Roman"/>
          <w:b/>
          <w:color w:val="000000" w:themeColor="text1"/>
          <w:szCs w:val="24"/>
        </w:rPr>
      </w:pPr>
    </w:p>
    <w:p w14:paraId="5727674E" w14:textId="1F1F530F" w:rsidR="00223DF9" w:rsidRPr="00815B3E" w:rsidRDefault="00223DF9" w:rsidP="00223DF9">
      <w:pPr>
        <w:jc w:val="center"/>
        <w:rPr>
          <w:rFonts w:eastAsia="Calibri" w:cs="Times New Roman"/>
          <w:b/>
          <w:color w:val="000000" w:themeColor="text1"/>
          <w:szCs w:val="24"/>
        </w:rPr>
      </w:pPr>
      <w:r w:rsidRPr="00815B3E">
        <w:rPr>
          <w:rFonts w:eastAsia="Calibri" w:cs="Times New Roman"/>
          <w:b/>
          <w:color w:val="000000" w:themeColor="text1"/>
          <w:szCs w:val="24"/>
        </w:rPr>
        <w:t xml:space="preserve">§ </w:t>
      </w:r>
      <w:r w:rsidR="00965143">
        <w:rPr>
          <w:rFonts w:eastAsia="Calibri" w:cs="Times New Roman"/>
          <w:b/>
          <w:color w:val="000000" w:themeColor="text1"/>
          <w:szCs w:val="24"/>
        </w:rPr>
        <w:t>4</w:t>
      </w:r>
    </w:p>
    <w:p w14:paraId="1DB3074F" w14:textId="77777777" w:rsidR="00223DF9" w:rsidRPr="00815B3E" w:rsidRDefault="00223DF9" w:rsidP="00223DF9">
      <w:pPr>
        <w:jc w:val="center"/>
        <w:rPr>
          <w:rFonts w:eastAsia="Calibri" w:cs="Times New Roman"/>
          <w:color w:val="000000" w:themeColor="text1"/>
          <w:szCs w:val="24"/>
        </w:rPr>
      </w:pPr>
    </w:p>
    <w:p w14:paraId="782C31B8" w14:textId="26BC7000" w:rsidR="00223DF9" w:rsidRPr="00815B3E" w:rsidRDefault="00223DF9" w:rsidP="00255CB9">
      <w:pPr>
        <w:rPr>
          <w:color w:val="000000" w:themeColor="text1"/>
        </w:rPr>
      </w:pPr>
      <w:r w:rsidRPr="00815B3E">
        <w:rPr>
          <w:rFonts w:eastAsia="Calibri" w:cs="Times New Roman"/>
          <w:color w:val="000000" w:themeColor="text1"/>
          <w:szCs w:val="24"/>
        </w:rPr>
        <w:t xml:space="preserve">I fusionsskatteloven, jf. lovbekendtgørelse nr. </w:t>
      </w:r>
      <w:r w:rsidR="00F150E8">
        <w:rPr>
          <w:rFonts w:eastAsia="Calibri" w:cs="Times New Roman"/>
          <w:color w:val="000000" w:themeColor="text1"/>
          <w:szCs w:val="24"/>
        </w:rPr>
        <w:t>743 af 23. april 2021</w:t>
      </w:r>
      <w:r w:rsidR="008941B9">
        <w:rPr>
          <w:rFonts w:eastAsia="Calibri" w:cs="Times New Roman"/>
          <w:color w:val="000000" w:themeColor="text1"/>
          <w:szCs w:val="24"/>
        </w:rPr>
        <w:t>,</w:t>
      </w:r>
      <w:r w:rsidRPr="00815B3E">
        <w:rPr>
          <w:rFonts w:eastAsia="Calibri" w:cs="Times New Roman"/>
          <w:color w:val="000000" w:themeColor="text1"/>
          <w:szCs w:val="24"/>
        </w:rPr>
        <w:t xml:space="preserve"> foretages følgende ændring:</w:t>
      </w:r>
    </w:p>
    <w:p w14:paraId="527C5FBF" w14:textId="77777777" w:rsidR="00223DF9" w:rsidRPr="00815B3E" w:rsidRDefault="00223DF9" w:rsidP="00223DF9">
      <w:pPr>
        <w:ind w:firstLine="284"/>
        <w:rPr>
          <w:rFonts w:eastAsia="Calibri" w:cs="Times New Roman"/>
          <w:color w:val="000000" w:themeColor="text1"/>
          <w:szCs w:val="24"/>
        </w:rPr>
      </w:pPr>
    </w:p>
    <w:p w14:paraId="0871FEA1" w14:textId="049617B7" w:rsidR="00223DF9" w:rsidRPr="00815B3E" w:rsidRDefault="00223DF9" w:rsidP="00223DF9">
      <w:pPr>
        <w:rPr>
          <w:rFonts w:eastAsia="Calibri" w:cs="Times New Roman"/>
          <w:color w:val="000000" w:themeColor="text1"/>
          <w:szCs w:val="24"/>
        </w:rPr>
      </w:pPr>
      <w:r w:rsidRPr="00815B3E">
        <w:rPr>
          <w:rFonts w:eastAsia="Calibri" w:cs="Times New Roman"/>
          <w:b/>
          <w:bCs/>
          <w:color w:val="000000" w:themeColor="text1"/>
          <w:szCs w:val="24"/>
        </w:rPr>
        <w:t>1.</w:t>
      </w:r>
      <w:r w:rsidRPr="00815B3E">
        <w:rPr>
          <w:rFonts w:eastAsia="Calibri" w:cs="Times New Roman"/>
          <w:color w:val="000000" w:themeColor="text1"/>
          <w:szCs w:val="24"/>
        </w:rPr>
        <w:t xml:space="preserve"> I </w:t>
      </w:r>
      <w:r w:rsidRPr="00255CB9">
        <w:rPr>
          <w:rFonts w:eastAsia="Calibri" w:cs="Times New Roman"/>
          <w:i/>
          <w:iCs/>
          <w:color w:val="000000" w:themeColor="text1"/>
          <w:szCs w:val="24"/>
        </w:rPr>
        <w:t>§ 8</w:t>
      </w:r>
      <w:r w:rsidR="00583843">
        <w:rPr>
          <w:rFonts w:eastAsia="Calibri" w:cs="Times New Roman"/>
          <w:i/>
          <w:iCs/>
          <w:color w:val="000000" w:themeColor="text1"/>
          <w:szCs w:val="24"/>
        </w:rPr>
        <w:t>, stk. 3,</w:t>
      </w:r>
      <w:r w:rsidRPr="00815B3E">
        <w:rPr>
          <w:rFonts w:eastAsia="Calibri" w:cs="Times New Roman"/>
          <w:color w:val="000000" w:themeColor="text1"/>
          <w:szCs w:val="24"/>
        </w:rPr>
        <w:t xml:space="preserve"> indsættes </w:t>
      </w:r>
      <w:r w:rsidR="00583843">
        <w:rPr>
          <w:rFonts w:eastAsia="Calibri" w:cs="Times New Roman"/>
          <w:color w:val="000000" w:themeColor="text1"/>
          <w:szCs w:val="24"/>
        </w:rPr>
        <w:t xml:space="preserve">efter </w:t>
      </w:r>
      <w:r w:rsidR="008941B9">
        <w:rPr>
          <w:rFonts w:eastAsia="Calibri" w:cs="Times New Roman"/>
          <w:color w:val="000000" w:themeColor="text1"/>
          <w:szCs w:val="24"/>
        </w:rPr>
        <w:t>1.</w:t>
      </w:r>
      <w:r w:rsidR="00583843">
        <w:rPr>
          <w:rFonts w:eastAsia="Calibri" w:cs="Times New Roman"/>
          <w:color w:val="000000" w:themeColor="text1"/>
          <w:szCs w:val="24"/>
        </w:rPr>
        <w:t xml:space="preserve"> pkt. som nyt p</w:t>
      </w:r>
      <w:r w:rsidR="008941B9">
        <w:rPr>
          <w:rFonts w:eastAsia="Calibri" w:cs="Times New Roman"/>
          <w:color w:val="000000" w:themeColor="text1"/>
          <w:szCs w:val="24"/>
        </w:rPr>
        <w:t>unktum</w:t>
      </w:r>
      <w:r w:rsidRPr="00815B3E">
        <w:rPr>
          <w:rFonts w:eastAsia="Calibri" w:cs="Times New Roman"/>
          <w:color w:val="000000" w:themeColor="text1"/>
          <w:szCs w:val="24"/>
        </w:rPr>
        <w:t>:</w:t>
      </w:r>
    </w:p>
    <w:p w14:paraId="28A7FEA7" w14:textId="76147ABB" w:rsidR="002C297A" w:rsidRPr="00815B3E" w:rsidRDefault="002C297A" w:rsidP="00255CB9">
      <w:pPr>
        <w:rPr>
          <w:rFonts w:eastAsia="Calibri" w:cs="Times New Roman"/>
          <w:color w:val="000000" w:themeColor="text1"/>
          <w:szCs w:val="24"/>
        </w:rPr>
      </w:pPr>
      <w:r w:rsidRPr="00815B3E">
        <w:rPr>
          <w:rFonts w:eastAsia="Calibri" w:cs="Times New Roman"/>
          <w:bCs/>
          <w:color w:val="000000" w:themeColor="text1"/>
          <w:szCs w:val="24"/>
        </w:rPr>
        <w:t xml:space="preserve">”Har det indskydende selskab ved opgørelsen af den skattepligtige indkomst medregnet </w:t>
      </w:r>
      <w:proofErr w:type="spellStart"/>
      <w:r w:rsidRPr="00815B3E">
        <w:rPr>
          <w:rFonts w:eastAsia="Calibri" w:cs="Times New Roman"/>
          <w:bCs/>
          <w:color w:val="000000" w:themeColor="text1"/>
          <w:szCs w:val="24"/>
        </w:rPr>
        <w:t>urealiseret</w:t>
      </w:r>
      <w:proofErr w:type="spellEnd"/>
      <w:r w:rsidRPr="00815B3E">
        <w:rPr>
          <w:rFonts w:eastAsia="Calibri" w:cs="Times New Roman"/>
          <w:bCs/>
          <w:color w:val="000000" w:themeColor="text1"/>
          <w:szCs w:val="24"/>
        </w:rPr>
        <w:t xml:space="preserve"> fortjeneste og tab på ejendomme (lagerbeskattede ejendomme), behandles ejendommene ved opgørelsen af det modtagende selskabs skattepligtige indkomst, som om fortjeneste og tab var medregnet ved indkomstopgørelsen hos det modtagende selskab. </w:t>
      </w:r>
      <w:r w:rsidRPr="00815B3E">
        <w:rPr>
          <w:color w:val="000000" w:themeColor="text1"/>
        </w:rPr>
        <w:t>Det modtagende selskab indtræder i en positiv realisationssaldo, jf. ejendomsavancebeskatningslovens § 14 D</w:t>
      </w:r>
      <w:r w:rsidR="00C87DFA">
        <w:rPr>
          <w:color w:val="000000" w:themeColor="text1"/>
        </w:rPr>
        <w:t>, stk. 2</w:t>
      </w:r>
      <w:r w:rsidR="00F14339">
        <w:rPr>
          <w:color w:val="000000" w:themeColor="text1"/>
        </w:rPr>
        <w:t>, herunder en positiv realisationssaldo, der opgøres ved overgang til lagerbeskatning i forbindelse med fusionen</w:t>
      </w:r>
      <w:r w:rsidRPr="00815B3E">
        <w:rPr>
          <w:color w:val="000000" w:themeColor="text1"/>
        </w:rPr>
        <w:t>.</w:t>
      </w:r>
      <w:r w:rsidRPr="00815B3E">
        <w:rPr>
          <w:rFonts w:eastAsia="Calibri" w:cs="Times New Roman"/>
          <w:color w:val="000000" w:themeColor="text1"/>
          <w:szCs w:val="24"/>
        </w:rPr>
        <w:t>”</w:t>
      </w:r>
    </w:p>
    <w:p w14:paraId="17B45B0D" w14:textId="7B010797" w:rsidR="00A75964" w:rsidRPr="00815B3E" w:rsidRDefault="00A75964" w:rsidP="00A75964">
      <w:pPr>
        <w:ind w:firstLine="284"/>
        <w:rPr>
          <w:rFonts w:eastAsia="Calibri" w:cs="Times New Roman"/>
          <w:color w:val="000000" w:themeColor="text1"/>
          <w:szCs w:val="24"/>
        </w:rPr>
      </w:pPr>
    </w:p>
    <w:p w14:paraId="1AE27561" w14:textId="1F0E5299" w:rsidR="009A638A" w:rsidRPr="00815B3E" w:rsidRDefault="009A638A" w:rsidP="009A638A">
      <w:pPr>
        <w:spacing w:line="288" w:lineRule="auto"/>
        <w:rPr>
          <w:color w:val="000000" w:themeColor="text1"/>
          <w:u w:val="single"/>
        </w:rPr>
      </w:pPr>
    </w:p>
    <w:p w14:paraId="17505EE2" w14:textId="77777777" w:rsidR="00965143" w:rsidRPr="00815B3E" w:rsidRDefault="00965143" w:rsidP="00965143">
      <w:pPr>
        <w:jc w:val="center"/>
        <w:rPr>
          <w:rFonts w:eastAsia="Calibri" w:cs="Times New Roman"/>
          <w:b/>
          <w:color w:val="000000" w:themeColor="text1"/>
          <w:szCs w:val="24"/>
        </w:rPr>
      </w:pPr>
      <w:r w:rsidRPr="00815B3E">
        <w:rPr>
          <w:rFonts w:eastAsia="Calibri" w:cs="Times New Roman"/>
          <w:b/>
          <w:color w:val="000000" w:themeColor="text1"/>
          <w:szCs w:val="24"/>
        </w:rPr>
        <w:t>§ 5</w:t>
      </w:r>
    </w:p>
    <w:p w14:paraId="7847C2DD" w14:textId="740B91D1" w:rsidR="00965143" w:rsidRDefault="00965143" w:rsidP="00A75964">
      <w:pPr>
        <w:ind w:firstLine="284"/>
        <w:rPr>
          <w:rFonts w:eastAsia="Calibri" w:cs="Times New Roman"/>
          <w:color w:val="000000" w:themeColor="text1"/>
          <w:szCs w:val="24"/>
        </w:rPr>
      </w:pPr>
    </w:p>
    <w:p w14:paraId="12541BD6" w14:textId="61619726" w:rsidR="00965143" w:rsidRDefault="00965143" w:rsidP="00965143">
      <w:pPr>
        <w:rPr>
          <w:rFonts w:eastAsia="Calibri" w:cs="Times New Roman"/>
          <w:color w:val="000000" w:themeColor="text1"/>
          <w:szCs w:val="24"/>
        </w:rPr>
      </w:pPr>
      <w:r>
        <w:rPr>
          <w:rFonts w:eastAsia="Calibri" w:cs="Times New Roman"/>
          <w:color w:val="000000" w:themeColor="text1"/>
          <w:szCs w:val="24"/>
        </w:rPr>
        <w:t xml:space="preserve">I ligningsloven, jf. lovbekendtgørelse nr. 1735 af 17. august 2021, som ændret senest ved § </w:t>
      </w:r>
      <w:r w:rsidR="00E6616B">
        <w:rPr>
          <w:rFonts w:eastAsia="Calibri" w:cs="Times New Roman"/>
          <w:color w:val="000000" w:themeColor="text1"/>
          <w:szCs w:val="24"/>
        </w:rPr>
        <w:t>3</w:t>
      </w:r>
      <w:r>
        <w:rPr>
          <w:rFonts w:eastAsia="Calibri" w:cs="Times New Roman"/>
          <w:color w:val="000000" w:themeColor="text1"/>
          <w:szCs w:val="24"/>
        </w:rPr>
        <w:t xml:space="preserve"> i lov nr. </w:t>
      </w:r>
      <w:r w:rsidR="00E6616B">
        <w:rPr>
          <w:rFonts w:eastAsia="Calibri" w:cs="Times New Roman"/>
          <w:color w:val="000000" w:themeColor="text1"/>
          <w:szCs w:val="24"/>
        </w:rPr>
        <w:t>9</w:t>
      </w:r>
      <w:r>
        <w:rPr>
          <w:rFonts w:eastAsia="Calibri" w:cs="Times New Roman"/>
          <w:color w:val="000000" w:themeColor="text1"/>
          <w:szCs w:val="24"/>
        </w:rPr>
        <w:t>0</w:t>
      </w:r>
      <w:r w:rsidR="00E6616B">
        <w:rPr>
          <w:rFonts w:eastAsia="Calibri" w:cs="Times New Roman"/>
          <w:color w:val="000000" w:themeColor="text1"/>
          <w:szCs w:val="24"/>
        </w:rPr>
        <w:t>6</w:t>
      </w:r>
      <w:r>
        <w:rPr>
          <w:rFonts w:eastAsia="Calibri" w:cs="Times New Roman"/>
          <w:color w:val="000000" w:themeColor="text1"/>
          <w:szCs w:val="24"/>
        </w:rPr>
        <w:t xml:space="preserve"> af </w:t>
      </w:r>
      <w:r w:rsidR="00E6616B">
        <w:rPr>
          <w:rFonts w:eastAsia="Calibri" w:cs="Times New Roman"/>
          <w:color w:val="000000" w:themeColor="text1"/>
          <w:szCs w:val="24"/>
        </w:rPr>
        <w:t>21</w:t>
      </w:r>
      <w:r>
        <w:rPr>
          <w:rFonts w:eastAsia="Calibri" w:cs="Times New Roman"/>
          <w:color w:val="000000" w:themeColor="text1"/>
          <w:szCs w:val="24"/>
        </w:rPr>
        <w:t>. juni 2022, foretages følgende ændring:</w:t>
      </w:r>
    </w:p>
    <w:p w14:paraId="67577333" w14:textId="77777777" w:rsidR="00965143" w:rsidRDefault="00965143" w:rsidP="00965143">
      <w:pPr>
        <w:rPr>
          <w:rFonts w:eastAsia="Calibri" w:cs="Times New Roman"/>
          <w:color w:val="000000" w:themeColor="text1"/>
          <w:szCs w:val="24"/>
        </w:rPr>
      </w:pPr>
    </w:p>
    <w:p w14:paraId="3FBC92DF" w14:textId="00E2A76D" w:rsidR="00965143" w:rsidRDefault="00965143" w:rsidP="00965143">
      <w:pPr>
        <w:rPr>
          <w:rFonts w:eastAsia="Calibri" w:cs="Times New Roman"/>
          <w:color w:val="000000" w:themeColor="text1"/>
          <w:szCs w:val="24"/>
        </w:rPr>
      </w:pPr>
      <w:r>
        <w:rPr>
          <w:rFonts w:eastAsia="Calibri" w:cs="Times New Roman"/>
          <w:color w:val="000000" w:themeColor="text1"/>
          <w:szCs w:val="24"/>
        </w:rPr>
        <w:t xml:space="preserve">I </w:t>
      </w:r>
      <w:r w:rsidRPr="00255CB9">
        <w:rPr>
          <w:rFonts w:eastAsia="Calibri" w:cs="Times New Roman"/>
          <w:i/>
          <w:iCs/>
          <w:color w:val="000000" w:themeColor="text1"/>
          <w:szCs w:val="24"/>
        </w:rPr>
        <w:t>§ 17 A</w:t>
      </w:r>
      <w:r w:rsidR="00E6616B">
        <w:rPr>
          <w:rFonts w:eastAsia="Calibri" w:cs="Times New Roman"/>
          <w:i/>
          <w:iCs/>
          <w:color w:val="000000" w:themeColor="text1"/>
          <w:szCs w:val="24"/>
        </w:rPr>
        <w:t>, stk. 1,</w:t>
      </w:r>
      <w:r>
        <w:rPr>
          <w:rFonts w:eastAsia="Calibri" w:cs="Times New Roman"/>
          <w:color w:val="000000" w:themeColor="text1"/>
          <w:szCs w:val="24"/>
        </w:rPr>
        <w:t xml:space="preserve"> ændres ”</w:t>
      </w:r>
      <w:r w:rsidR="00273622">
        <w:rPr>
          <w:rFonts w:eastAsia="Calibri" w:cs="Times New Roman"/>
          <w:color w:val="000000" w:themeColor="text1"/>
          <w:szCs w:val="24"/>
        </w:rPr>
        <w:t xml:space="preserve">§ 12 i </w:t>
      </w:r>
      <w:r>
        <w:rPr>
          <w:rFonts w:eastAsia="Calibri" w:cs="Times New Roman"/>
          <w:color w:val="000000" w:themeColor="text1"/>
          <w:szCs w:val="24"/>
        </w:rPr>
        <w:t>lov om beskatning af fortjeneste ved afståelse af fast ejendom” til: ”ejendomsavancebeskatningsloven</w:t>
      </w:r>
      <w:r w:rsidR="00273622">
        <w:rPr>
          <w:rFonts w:eastAsia="Calibri" w:cs="Times New Roman"/>
          <w:color w:val="000000" w:themeColor="text1"/>
          <w:szCs w:val="24"/>
        </w:rPr>
        <w:t>s § 12</w:t>
      </w:r>
      <w:r>
        <w:rPr>
          <w:rFonts w:eastAsia="Calibri" w:cs="Times New Roman"/>
          <w:color w:val="000000" w:themeColor="text1"/>
          <w:szCs w:val="24"/>
        </w:rPr>
        <w:t>”</w:t>
      </w:r>
      <w:r w:rsidR="008941B9">
        <w:rPr>
          <w:rFonts w:eastAsia="Calibri" w:cs="Times New Roman"/>
          <w:color w:val="000000" w:themeColor="text1"/>
          <w:szCs w:val="24"/>
        </w:rPr>
        <w:t>.</w:t>
      </w:r>
    </w:p>
    <w:p w14:paraId="6B97AFB8" w14:textId="353D2213" w:rsidR="00965143" w:rsidRDefault="00965143" w:rsidP="00A75964">
      <w:pPr>
        <w:ind w:firstLine="284"/>
        <w:rPr>
          <w:rFonts w:eastAsia="Calibri" w:cs="Times New Roman"/>
          <w:color w:val="000000" w:themeColor="text1"/>
          <w:szCs w:val="24"/>
        </w:rPr>
      </w:pPr>
    </w:p>
    <w:p w14:paraId="0551130A" w14:textId="77777777" w:rsidR="00965143" w:rsidRPr="00815B3E" w:rsidRDefault="00965143" w:rsidP="00A75964">
      <w:pPr>
        <w:ind w:firstLine="284"/>
        <w:rPr>
          <w:rFonts w:eastAsia="Calibri" w:cs="Times New Roman"/>
          <w:color w:val="000000" w:themeColor="text1"/>
          <w:szCs w:val="24"/>
        </w:rPr>
      </w:pPr>
    </w:p>
    <w:p w14:paraId="542955F1" w14:textId="77F087D5" w:rsidR="00223DF9" w:rsidRPr="00815B3E" w:rsidRDefault="00223DF9" w:rsidP="00223DF9">
      <w:pPr>
        <w:jc w:val="center"/>
        <w:rPr>
          <w:rFonts w:eastAsia="Calibri" w:cs="Times New Roman"/>
          <w:b/>
          <w:color w:val="000000" w:themeColor="text1"/>
          <w:szCs w:val="24"/>
        </w:rPr>
      </w:pPr>
      <w:r w:rsidRPr="00815B3E">
        <w:rPr>
          <w:rFonts w:eastAsia="Calibri" w:cs="Times New Roman"/>
          <w:b/>
          <w:color w:val="000000" w:themeColor="text1"/>
          <w:szCs w:val="24"/>
        </w:rPr>
        <w:t xml:space="preserve">§ </w:t>
      </w:r>
      <w:r w:rsidR="00965143">
        <w:rPr>
          <w:rFonts w:eastAsia="Calibri" w:cs="Times New Roman"/>
          <w:b/>
          <w:color w:val="000000" w:themeColor="text1"/>
          <w:szCs w:val="24"/>
        </w:rPr>
        <w:t>6</w:t>
      </w:r>
    </w:p>
    <w:p w14:paraId="50D2D58B" w14:textId="77777777" w:rsidR="00223DF9" w:rsidRPr="00815B3E" w:rsidRDefault="00223DF9" w:rsidP="00223DF9">
      <w:pPr>
        <w:jc w:val="center"/>
        <w:rPr>
          <w:rFonts w:eastAsia="Calibri" w:cs="Times New Roman"/>
          <w:color w:val="000000" w:themeColor="text1"/>
          <w:szCs w:val="24"/>
        </w:rPr>
      </w:pPr>
    </w:p>
    <w:p w14:paraId="43571661" w14:textId="08F57A28" w:rsidR="00223DF9" w:rsidRPr="00815B3E" w:rsidRDefault="00223DF9" w:rsidP="00255CB9">
      <w:pPr>
        <w:rPr>
          <w:rFonts w:eastAsia="Calibri" w:cs="Times New Roman"/>
          <w:color w:val="000000" w:themeColor="text1"/>
          <w:szCs w:val="24"/>
        </w:rPr>
      </w:pPr>
      <w:r w:rsidRPr="00815B3E">
        <w:rPr>
          <w:rFonts w:eastAsia="Calibri" w:cs="Times New Roman"/>
          <w:color w:val="000000" w:themeColor="text1"/>
          <w:szCs w:val="24"/>
        </w:rPr>
        <w:t xml:space="preserve">I selskabsskatteloven, jf. lovbekendtgørelse nr. 251 af 22. februar 2021, som ændret senest ved </w:t>
      </w:r>
      <w:r w:rsidR="00F61E9C">
        <w:rPr>
          <w:rFonts w:eastAsia="Calibri" w:cs="Times New Roman"/>
          <w:color w:val="000000" w:themeColor="text1"/>
          <w:szCs w:val="24"/>
        </w:rPr>
        <w:t xml:space="preserve">§ </w:t>
      </w:r>
      <w:r w:rsidR="00E6616B">
        <w:rPr>
          <w:rFonts w:eastAsia="Calibri" w:cs="Times New Roman"/>
          <w:color w:val="000000" w:themeColor="text1"/>
          <w:szCs w:val="24"/>
        </w:rPr>
        <w:t>1</w:t>
      </w:r>
      <w:r w:rsidR="00F61E9C">
        <w:rPr>
          <w:rFonts w:eastAsia="Calibri" w:cs="Times New Roman"/>
          <w:color w:val="000000" w:themeColor="text1"/>
          <w:szCs w:val="24"/>
        </w:rPr>
        <w:t xml:space="preserve"> i</w:t>
      </w:r>
      <w:r w:rsidRPr="00815B3E">
        <w:rPr>
          <w:rFonts w:eastAsia="Calibri" w:cs="Times New Roman"/>
          <w:color w:val="000000" w:themeColor="text1"/>
          <w:szCs w:val="24"/>
        </w:rPr>
        <w:t xml:space="preserve"> lov nr. </w:t>
      </w:r>
      <w:r w:rsidR="00E6616B">
        <w:rPr>
          <w:rFonts w:eastAsia="Calibri" w:cs="Times New Roman"/>
          <w:color w:val="000000" w:themeColor="text1"/>
          <w:szCs w:val="24"/>
        </w:rPr>
        <w:t>905</w:t>
      </w:r>
      <w:r w:rsidR="00F61E9C">
        <w:rPr>
          <w:rFonts w:eastAsia="Calibri" w:cs="Times New Roman"/>
          <w:color w:val="000000" w:themeColor="text1"/>
          <w:szCs w:val="24"/>
        </w:rPr>
        <w:t xml:space="preserve"> af </w:t>
      </w:r>
      <w:r w:rsidR="00E6616B">
        <w:rPr>
          <w:rFonts w:eastAsia="Calibri" w:cs="Times New Roman"/>
          <w:color w:val="000000" w:themeColor="text1"/>
          <w:szCs w:val="24"/>
        </w:rPr>
        <w:t>2</w:t>
      </w:r>
      <w:r w:rsidR="00F61E9C">
        <w:rPr>
          <w:rFonts w:eastAsia="Calibri" w:cs="Times New Roman"/>
          <w:color w:val="000000" w:themeColor="text1"/>
          <w:szCs w:val="24"/>
        </w:rPr>
        <w:t>1. juni 2022</w:t>
      </w:r>
      <w:r w:rsidRPr="00815B3E">
        <w:rPr>
          <w:rFonts w:eastAsia="Calibri" w:cs="Times New Roman"/>
          <w:color w:val="000000" w:themeColor="text1"/>
          <w:szCs w:val="24"/>
        </w:rPr>
        <w:t>, foretages følgende ændring:</w:t>
      </w:r>
    </w:p>
    <w:p w14:paraId="7F025BC1" w14:textId="77777777" w:rsidR="00223DF9" w:rsidRPr="00815B3E" w:rsidRDefault="00223DF9" w:rsidP="00223DF9">
      <w:pPr>
        <w:ind w:firstLine="284"/>
        <w:rPr>
          <w:rFonts w:eastAsia="Calibri" w:cs="Times New Roman"/>
          <w:color w:val="000000" w:themeColor="text1"/>
          <w:szCs w:val="24"/>
        </w:rPr>
      </w:pPr>
    </w:p>
    <w:p w14:paraId="1886F71F" w14:textId="1C490CF6" w:rsidR="00223DF9" w:rsidRPr="00815B3E" w:rsidRDefault="00223DF9" w:rsidP="00223DF9">
      <w:pPr>
        <w:rPr>
          <w:rFonts w:cs="Times New Roman"/>
          <w:bCs/>
          <w:color w:val="000000" w:themeColor="text1"/>
          <w:szCs w:val="24"/>
        </w:rPr>
      </w:pPr>
      <w:r w:rsidRPr="00815B3E">
        <w:rPr>
          <w:rFonts w:cs="Times New Roman"/>
          <w:b/>
          <w:color w:val="000000" w:themeColor="text1"/>
          <w:szCs w:val="24"/>
        </w:rPr>
        <w:t xml:space="preserve">1. </w:t>
      </w:r>
      <w:r w:rsidRPr="00815B3E">
        <w:rPr>
          <w:rFonts w:cs="Times New Roman"/>
          <w:bCs/>
          <w:color w:val="000000" w:themeColor="text1"/>
          <w:szCs w:val="24"/>
        </w:rPr>
        <w:t xml:space="preserve">I </w:t>
      </w:r>
      <w:r w:rsidRPr="00815B3E">
        <w:rPr>
          <w:rFonts w:cs="Times New Roman"/>
          <w:bCs/>
          <w:i/>
          <w:iCs/>
          <w:color w:val="000000" w:themeColor="text1"/>
          <w:szCs w:val="24"/>
        </w:rPr>
        <w:t>§ 2, stk. 1, litra b</w:t>
      </w:r>
      <w:r w:rsidR="00273622">
        <w:rPr>
          <w:rFonts w:cs="Times New Roman"/>
          <w:bCs/>
          <w:i/>
          <w:iCs/>
          <w:color w:val="000000" w:themeColor="text1"/>
          <w:szCs w:val="24"/>
        </w:rPr>
        <w:t>,</w:t>
      </w:r>
      <w:r w:rsidR="005565E7">
        <w:rPr>
          <w:rFonts w:cs="Times New Roman"/>
          <w:bCs/>
          <w:i/>
          <w:iCs/>
          <w:color w:val="000000" w:themeColor="text1"/>
          <w:szCs w:val="24"/>
        </w:rPr>
        <w:t xml:space="preserve"> 2. pkt.</w:t>
      </w:r>
      <w:r w:rsidRPr="00815B3E">
        <w:rPr>
          <w:rFonts w:cs="Times New Roman"/>
          <w:bCs/>
          <w:color w:val="000000" w:themeColor="text1"/>
          <w:szCs w:val="24"/>
        </w:rPr>
        <w:t xml:space="preserve"> ændres</w:t>
      </w:r>
      <w:r w:rsidRPr="00815B3E">
        <w:rPr>
          <w:rFonts w:cs="Times New Roman"/>
          <w:b/>
          <w:color w:val="000000" w:themeColor="text1"/>
          <w:szCs w:val="24"/>
        </w:rPr>
        <w:t xml:space="preserve"> </w:t>
      </w:r>
      <w:r w:rsidRPr="00815B3E">
        <w:rPr>
          <w:rFonts w:cs="Times New Roman"/>
          <w:bCs/>
          <w:color w:val="000000" w:themeColor="text1"/>
          <w:szCs w:val="24"/>
        </w:rPr>
        <w:t>»ved afståelse af« til: ”på”</w:t>
      </w:r>
      <w:r w:rsidR="008941B9">
        <w:rPr>
          <w:rFonts w:cs="Times New Roman"/>
          <w:bCs/>
          <w:color w:val="000000" w:themeColor="text1"/>
          <w:szCs w:val="24"/>
        </w:rPr>
        <w:t>.</w:t>
      </w:r>
    </w:p>
    <w:p w14:paraId="0CC32B6B" w14:textId="77777777" w:rsidR="00223DF9" w:rsidRPr="00815B3E" w:rsidRDefault="00223DF9" w:rsidP="00223DF9">
      <w:pPr>
        <w:rPr>
          <w:rFonts w:cs="Times New Roman"/>
          <w:bCs/>
          <w:color w:val="000000" w:themeColor="text1"/>
          <w:szCs w:val="24"/>
        </w:rPr>
      </w:pPr>
    </w:p>
    <w:p w14:paraId="568014E1" w14:textId="77777777" w:rsidR="00A75964" w:rsidRPr="00815B3E" w:rsidRDefault="00A75964" w:rsidP="00223DF9">
      <w:pPr>
        <w:rPr>
          <w:rFonts w:eastAsia="Calibri" w:cs="Times New Roman"/>
          <w:b/>
          <w:color w:val="000000" w:themeColor="text1"/>
          <w:szCs w:val="24"/>
        </w:rPr>
      </w:pPr>
    </w:p>
    <w:p w14:paraId="574A15EE" w14:textId="4C5C03C8" w:rsidR="00223DF9" w:rsidRPr="00815B3E" w:rsidRDefault="00223DF9" w:rsidP="00223DF9">
      <w:pPr>
        <w:jc w:val="center"/>
        <w:rPr>
          <w:rFonts w:eastAsia="Calibri" w:cs="Times New Roman"/>
          <w:b/>
          <w:color w:val="000000" w:themeColor="text1"/>
          <w:szCs w:val="24"/>
        </w:rPr>
      </w:pPr>
      <w:r w:rsidRPr="00815B3E">
        <w:rPr>
          <w:rFonts w:eastAsia="Calibri" w:cs="Times New Roman"/>
          <w:b/>
          <w:color w:val="000000" w:themeColor="text1"/>
          <w:szCs w:val="24"/>
        </w:rPr>
        <w:t xml:space="preserve">§ </w:t>
      </w:r>
      <w:r w:rsidR="00965143">
        <w:rPr>
          <w:rFonts w:eastAsia="Calibri" w:cs="Times New Roman"/>
          <w:b/>
          <w:color w:val="000000" w:themeColor="text1"/>
          <w:szCs w:val="24"/>
        </w:rPr>
        <w:t>7</w:t>
      </w:r>
    </w:p>
    <w:p w14:paraId="50383D93" w14:textId="77777777" w:rsidR="00223DF9" w:rsidRPr="00815B3E" w:rsidRDefault="00223DF9" w:rsidP="00223DF9">
      <w:pPr>
        <w:jc w:val="center"/>
        <w:rPr>
          <w:rFonts w:eastAsia="Calibri" w:cs="Times New Roman"/>
          <w:color w:val="000000" w:themeColor="text1"/>
          <w:szCs w:val="24"/>
        </w:rPr>
      </w:pPr>
    </w:p>
    <w:p w14:paraId="189F22BF" w14:textId="7A7EEE55" w:rsidR="00223DF9" w:rsidRPr="00815B3E" w:rsidRDefault="00223DF9" w:rsidP="00223DF9">
      <w:pPr>
        <w:spacing w:after="200" w:line="276" w:lineRule="auto"/>
        <w:jc w:val="left"/>
        <w:rPr>
          <w:rFonts w:eastAsia="Calibri" w:cs="Times New Roman"/>
          <w:bCs/>
          <w:color w:val="000000" w:themeColor="text1"/>
          <w:szCs w:val="24"/>
        </w:rPr>
      </w:pPr>
      <w:r w:rsidRPr="00815B3E">
        <w:rPr>
          <w:rFonts w:eastAsia="Calibri" w:cs="Times New Roman"/>
          <w:bCs/>
          <w:color w:val="000000" w:themeColor="text1"/>
          <w:szCs w:val="24"/>
        </w:rPr>
        <w:t>I skattekontrolloven, jf. lovbekendtgørelse nr. nr. 283 af 2. marts 2022,</w:t>
      </w:r>
      <w:r w:rsidR="00F61E9C">
        <w:rPr>
          <w:rFonts w:eastAsia="Calibri" w:cs="Times New Roman"/>
          <w:bCs/>
          <w:color w:val="000000" w:themeColor="text1"/>
          <w:szCs w:val="24"/>
        </w:rPr>
        <w:t xml:space="preserve"> som ændret ved § 3 i lov nr. 2612 af 28. december 202</w:t>
      </w:r>
      <w:r w:rsidR="001E2ABE">
        <w:rPr>
          <w:rFonts w:eastAsia="Calibri" w:cs="Times New Roman"/>
          <w:bCs/>
          <w:color w:val="000000" w:themeColor="text1"/>
          <w:szCs w:val="24"/>
        </w:rPr>
        <w:t>1,</w:t>
      </w:r>
      <w:r w:rsidRPr="00815B3E">
        <w:rPr>
          <w:rFonts w:eastAsia="Calibri" w:cs="Times New Roman"/>
          <w:bCs/>
          <w:color w:val="000000" w:themeColor="text1"/>
          <w:szCs w:val="24"/>
        </w:rPr>
        <w:t xml:space="preserve"> </w:t>
      </w:r>
      <w:r w:rsidR="00BD523D">
        <w:rPr>
          <w:rFonts w:eastAsia="Calibri" w:cs="Times New Roman"/>
          <w:bCs/>
          <w:color w:val="000000" w:themeColor="text1"/>
          <w:szCs w:val="24"/>
        </w:rPr>
        <w:t xml:space="preserve">som ændret ved § 3 i lov nr. 2621 af 28. december 2021, ved § 3 i lov nr. 902 af 21. juni 2022 og ved § 3 i lov nr. 905 af 21. juni 2022 </w:t>
      </w:r>
      <w:r w:rsidRPr="00815B3E">
        <w:rPr>
          <w:rFonts w:eastAsia="Calibri" w:cs="Times New Roman"/>
          <w:bCs/>
          <w:color w:val="000000" w:themeColor="text1"/>
          <w:szCs w:val="24"/>
        </w:rPr>
        <w:t>foretages følgende ændring:</w:t>
      </w:r>
    </w:p>
    <w:p w14:paraId="2C04B3E8" w14:textId="19CC0336" w:rsidR="00223DF9" w:rsidRPr="00815B3E" w:rsidRDefault="00223DF9" w:rsidP="00223DF9">
      <w:pPr>
        <w:spacing w:after="200" w:line="276" w:lineRule="auto"/>
        <w:jc w:val="left"/>
        <w:rPr>
          <w:rFonts w:eastAsia="Calibri" w:cs="Times New Roman"/>
          <w:b/>
          <w:color w:val="000000" w:themeColor="text1"/>
          <w:szCs w:val="24"/>
        </w:rPr>
      </w:pPr>
      <w:r w:rsidRPr="00815B3E">
        <w:rPr>
          <w:rFonts w:eastAsia="Calibri" w:cs="Times New Roman"/>
          <w:b/>
          <w:color w:val="000000" w:themeColor="text1"/>
          <w:szCs w:val="24"/>
        </w:rPr>
        <w:t xml:space="preserve">1. </w:t>
      </w:r>
      <w:r w:rsidRPr="00815B3E">
        <w:rPr>
          <w:rFonts w:eastAsia="Calibri" w:cs="Times New Roman"/>
          <w:bCs/>
          <w:color w:val="000000" w:themeColor="text1"/>
          <w:szCs w:val="24"/>
        </w:rPr>
        <w:t>Efter § 36 indsættes</w:t>
      </w:r>
      <w:r w:rsidR="001E2ABE">
        <w:rPr>
          <w:rFonts w:eastAsia="Calibri" w:cs="Times New Roman"/>
          <w:bCs/>
          <w:color w:val="000000" w:themeColor="text1"/>
          <w:szCs w:val="24"/>
        </w:rPr>
        <w:t xml:space="preserve"> i kapitel 3</w:t>
      </w:r>
      <w:r w:rsidRPr="00815B3E">
        <w:rPr>
          <w:rFonts w:eastAsia="Calibri" w:cs="Times New Roman"/>
          <w:bCs/>
          <w:color w:val="000000" w:themeColor="text1"/>
          <w:szCs w:val="24"/>
        </w:rPr>
        <w:t>:</w:t>
      </w:r>
    </w:p>
    <w:p w14:paraId="4B769FCD" w14:textId="0109F2CA" w:rsidR="00223DF9" w:rsidRPr="00255CB9" w:rsidRDefault="00223DF9" w:rsidP="00255CB9">
      <w:pPr>
        <w:spacing w:after="200" w:line="276" w:lineRule="auto"/>
        <w:jc w:val="center"/>
        <w:rPr>
          <w:rFonts w:eastAsia="Calibri" w:cs="Times New Roman"/>
          <w:bCs/>
          <w:i/>
          <w:iCs/>
          <w:color w:val="000000" w:themeColor="text1"/>
          <w:szCs w:val="24"/>
        </w:rPr>
      </w:pPr>
      <w:r w:rsidRPr="00255CB9">
        <w:rPr>
          <w:rFonts w:eastAsia="Calibri" w:cs="Times New Roman"/>
          <w:bCs/>
          <w:i/>
          <w:iCs/>
          <w:color w:val="000000" w:themeColor="text1"/>
          <w:szCs w:val="24"/>
        </w:rPr>
        <w:t>»Oplysninger om lagerbeskattede ejendomme</w:t>
      </w:r>
    </w:p>
    <w:p w14:paraId="657DB6FA" w14:textId="75B3EEC5" w:rsidR="00223DF9" w:rsidRPr="00815B3E" w:rsidRDefault="00223DF9" w:rsidP="00223DF9">
      <w:pPr>
        <w:ind w:firstLine="284"/>
        <w:jc w:val="left"/>
        <w:rPr>
          <w:rFonts w:eastAsia="Calibri" w:cs="Times New Roman"/>
          <w:bCs/>
          <w:color w:val="000000" w:themeColor="text1"/>
          <w:szCs w:val="24"/>
        </w:rPr>
      </w:pPr>
      <w:r w:rsidRPr="00815B3E">
        <w:rPr>
          <w:rFonts w:eastAsia="Calibri" w:cs="Times New Roman"/>
          <w:b/>
          <w:color w:val="000000" w:themeColor="text1"/>
          <w:szCs w:val="24"/>
        </w:rPr>
        <w:t xml:space="preserve">§ 36 </w:t>
      </w:r>
      <w:r w:rsidR="001E2ABE">
        <w:rPr>
          <w:rFonts w:eastAsia="Calibri" w:cs="Times New Roman"/>
          <w:b/>
          <w:color w:val="000000" w:themeColor="text1"/>
          <w:szCs w:val="24"/>
        </w:rPr>
        <w:t>a</w:t>
      </w:r>
      <w:r w:rsidRPr="00815B3E">
        <w:rPr>
          <w:rFonts w:eastAsia="Calibri" w:cs="Times New Roman"/>
          <w:b/>
          <w:color w:val="000000" w:themeColor="text1"/>
          <w:szCs w:val="24"/>
        </w:rPr>
        <w:t xml:space="preserve">. </w:t>
      </w:r>
      <w:r w:rsidRPr="00815B3E">
        <w:rPr>
          <w:rFonts w:eastAsia="Calibri" w:cs="Times New Roman"/>
          <w:bCs/>
          <w:color w:val="000000" w:themeColor="text1"/>
          <w:szCs w:val="24"/>
        </w:rPr>
        <w:t>Skattepligtige, der ejer lagerbeskattede ejendomme, jf. ejendomsavancebeskatningslovens kapitel 3, skal dokumentere de økonomiske omstændigheder, der ligger til grund for værdiansættelsen af selskabets faste ejendomme efter ejendomsavancebeskatningslovens §§ 14 A og 14 C, hvis told- og skatteforvaltning</w:t>
      </w:r>
      <w:r w:rsidR="002873BE">
        <w:rPr>
          <w:rFonts w:eastAsia="Calibri" w:cs="Times New Roman"/>
          <w:bCs/>
          <w:color w:val="000000" w:themeColor="text1"/>
          <w:szCs w:val="24"/>
        </w:rPr>
        <w:t>en</w:t>
      </w:r>
      <w:r w:rsidRPr="00815B3E">
        <w:rPr>
          <w:rFonts w:eastAsia="Calibri" w:cs="Times New Roman"/>
          <w:bCs/>
          <w:color w:val="000000" w:themeColor="text1"/>
          <w:szCs w:val="24"/>
        </w:rPr>
        <w:t xml:space="preserve"> anmoder herom.</w:t>
      </w:r>
    </w:p>
    <w:p w14:paraId="22E16ED0" w14:textId="77777777" w:rsidR="00223DF9" w:rsidRPr="00815B3E" w:rsidRDefault="00223DF9" w:rsidP="00223DF9">
      <w:pPr>
        <w:ind w:firstLine="284"/>
        <w:jc w:val="left"/>
        <w:rPr>
          <w:rFonts w:eastAsia="Calibri" w:cs="Times New Roman"/>
          <w:bCs/>
          <w:color w:val="000000" w:themeColor="text1"/>
          <w:szCs w:val="24"/>
        </w:rPr>
      </w:pPr>
      <w:r w:rsidRPr="00815B3E">
        <w:rPr>
          <w:rFonts w:eastAsia="Calibri" w:cs="Times New Roman"/>
          <w:bCs/>
          <w:i/>
          <w:iCs/>
          <w:color w:val="000000" w:themeColor="text1"/>
          <w:szCs w:val="24"/>
        </w:rPr>
        <w:t xml:space="preserve">Stk. 2. </w:t>
      </w:r>
      <w:r w:rsidRPr="00815B3E">
        <w:rPr>
          <w:rFonts w:eastAsia="Calibri" w:cs="Times New Roman"/>
          <w:bCs/>
          <w:color w:val="000000" w:themeColor="text1"/>
          <w:szCs w:val="24"/>
        </w:rPr>
        <w:t>Told- og skatteforvaltningen kan fastsætte nærmere regler om de oplysninger, der skal afgives efter stk. 1.«</w:t>
      </w:r>
    </w:p>
    <w:p w14:paraId="40497368" w14:textId="200B089F" w:rsidR="007E42A5" w:rsidRDefault="007E42A5" w:rsidP="007E42A5">
      <w:pPr>
        <w:rPr>
          <w:rFonts w:eastAsia="Calibri" w:cs="Times New Roman"/>
          <w:color w:val="000000" w:themeColor="text1"/>
          <w:szCs w:val="24"/>
        </w:rPr>
      </w:pPr>
    </w:p>
    <w:p w14:paraId="038009B3" w14:textId="69DA74BE" w:rsidR="00965143" w:rsidRPr="00815B3E" w:rsidRDefault="00965143" w:rsidP="00965143">
      <w:pPr>
        <w:jc w:val="center"/>
        <w:rPr>
          <w:rFonts w:eastAsia="Calibri" w:cs="Times New Roman"/>
          <w:b/>
          <w:color w:val="000000" w:themeColor="text1"/>
          <w:szCs w:val="24"/>
        </w:rPr>
      </w:pPr>
      <w:r w:rsidRPr="00815B3E">
        <w:rPr>
          <w:rFonts w:eastAsia="Calibri" w:cs="Times New Roman"/>
          <w:b/>
          <w:color w:val="000000" w:themeColor="text1"/>
          <w:szCs w:val="24"/>
        </w:rPr>
        <w:t xml:space="preserve">§ </w:t>
      </w:r>
      <w:r>
        <w:rPr>
          <w:rFonts w:eastAsia="Calibri" w:cs="Times New Roman"/>
          <w:b/>
          <w:color w:val="000000" w:themeColor="text1"/>
          <w:szCs w:val="24"/>
        </w:rPr>
        <w:t>8</w:t>
      </w:r>
    </w:p>
    <w:p w14:paraId="5F76D5B9" w14:textId="6CF1F8B0" w:rsidR="007647A2" w:rsidRDefault="007647A2" w:rsidP="007E42A5">
      <w:pPr>
        <w:rPr>
          <w:rFonts w:eastAsia="Calibri" w:cs="Times New Roman"/>
          <w:color w:val="000000" w:themeColor="text1"/>
          <w:szCs w:val="24"/>
        </w:rPr>
      </w:pPr>
    </w:p>
    <w:p w14:paraId="0651AC91" w14:textId="0FAB510A" w:rsidR="00965143" w:rsidRDefault="00965143" w:rsidP="007E42A5">
      <w:pPr>
        <w:rPr>
          <w:rFonts w:eastAsia="Calibri" w:cs="Times New Roman"/>
          <w:color w:val="000000" w:themeColor="text1"/>
          <w:szCs w:val="24"/>
        </w:rPr>
      </w:pPr>
      <w:r>
        <w:rPr>
          <w:rFonts w:eastAsia="Calibri" w:cs="Times New Roman"/>
          <w:color w:val="000000" w:themeColor="text1"/>
          <w:szCs w:val="24"/>
        </w:rPr>
        <w:t>I v</w:t>
      </w:r>
      <w:r w:rsidR="007647A2">
        <w:rPr>
          <w:rFonts w:eastAsia="Calibri" w:cs="Times New Roman"/>
          <w:color w:val="000000" w:themeColor="text1"/>
          <w:szCs w:val="24"/>
        </w:rPr>
        <w:t xml:space="preserve">irksomhedsskatteloven, jf. </w:t>
      </w:r>
      <w:r w:rsidR="00663055">
        <w:rPr>
          <w:rFonts w:eastAsia="Calibri" w:cs="Times New Roman"/>
          <w:color w:val="000000" w:themeColor="text1"/>
          <w:szCs w:val="24"/>
        </w:rPr>
        <w:t xml:space="preserve">lovbekendtgørelse </w:t>
      </w:r>
      <w:r w:rsidR="007647A2" w:rsidRPr="007647A2">
        <w:rPr>
          <w:rFonts w:eastAsia="Calibri" w:cs="Times New Roman"/>
          <w:color w:val="000000" w:themeColor="text1"/>
          <w:szCs w:val="24"/>
        </w:rPr>
        <w:t>nr</w:t>
      </w:r>
      <w:r>
        <w:rPr>
          <w:rFonts w:eastAsia="Calibri" w:cs="Times New Roman"/>
          <w:color w:val="000000" w:themeColor="text1"/>
          <w:szCs w:val="24"/>
        </w:rPr>
        <w:t>.</w:t>
      </w:r>
      <w:r w:rsidR="007647A2" w:rsidRPr="007647A2">
        <w:rPr>
          <w:rFonts w:eastAsia="Calibri" w:cs="Times New Roman"/>
          <w:color w:val="000000" w:themeColor="text1"/>
          <w:szCs w:val="24"/>
        </w:rPr>
        <w:t xml:space="preserve"> 1836 af 16</w:t>
      </w:r>
      <w:r w:rsidR="00663055">
        <w:rPr>
          <w:rFonts w:eastAsia="Calibri" w:cs="Times New Roman"/>
          <w:color w:val="000000" w:themeColor="text1"/>
          <w:szCs w:val="24"/>
        </w:rPr>
        <w:t xml:space="preserve">. september </w:t>
      </w:r>
      <w:r w:rsidR="007647A2" w:rsidRPr="007647A2">
        <w:rPr>
          <w:rFonts w:eastAsia="Calibri" w:cs="Times New Roman"/>
          <w:color w:val="000000" w:themeColor="text1"/>
          <w:szCs w:val="24"/>
        </w:rPr>
        <w:t>2021</w:t>
      </w:r>
      <w:r w:rsidR="00E6616B">
        <w:rPr>
          <w:rFonts w:eastAsia="Calibri" w:cs="Times New Roman"/>
          <w:color w:val="000000" w:themeColor="text1"/>
          <w:szCs w:val="24"/>
        </w:rPr>
        <w:t>,</w:t>
      </w:r>
      <w:r w:rsidR="007647A2">
        <w:rPr>
          <w:rFonts w:eastAsia="Calibri" w:cs="Times New Roman"/>
          <w:color w:val="000000" w:themeColor="text1"/>
          <w:szCs w:val="24"/>
        </w:rPr>
        <w:t xml:space="preserve"> som ændret ved § 6 i </w:t>
      </w:r>
      <w:r w:rsidR="00663055">
        <w:rPr>
          <w:rFonts w:eastAsia="Calibri" w:cs="Times New Roman"/>
          <w:color w:val="000000" w:themeColor="text1"/>
          <w:szCs w:val="24"/>
        </w:rPr>
        <w:t>lov</w:t>
      </w:r>
      <w:r w:rsidR="007647A2" w:rsidRPr="007647A2">
        <w:rPr>
          <w:rFonts w:eastAsia="Calibri" w:cs="Times New Roman"/>
          <w:color w:val="000000" w:themeColor="text1"/>
          <w:szCs w:val="24"/>
        </w:rPr>
        <w:t xml:space="preserve"> nr</w:t>
      </w:r>
      <w:r w:rsidR="00663055">
        <w:rPr>
          <w:rFonts w:eastAsia="Calibri" w:cs="Times New Roman"/>
          <w:color w:val="000000" w:themeColor="text1"/>
          <w:szCs w:val="24"/>
        </w:rPr>
        <w:t>.</w:t>
      </w:r>
      <w:r w:rsidR="007647A2" w:rsidRPr="007647A2">
        <w:rPr>
          <w:rFonts w:eastAsia="Calibri" w:cs="Times New Roman"/>
          <w:color w:val="000000" w:themeColor="text1"/>
          <w:szCs w:val="24"/>
        </w:rPr>
        <w:t xml:space="preserve"> 2193 af 30</w:t>
      </w:r>
      <w:r w:rsidR="00663055">
        <w:rPr>
          <w:rFonts w:eastAsia="Calibri" w:cs="Times New Roman"/>
          <w:color w:val="000000" w:themeColor="text1"/>
          <w:szCs w:val="24"/>
        </w:rPr>
        <w:t xml:space="preserve">. november </w:t>
      </w:r>
      <w:r w:rsidR="007647A2" w:rsidRPr="007647A2">
        <w:rPr>
          <w:rFonts w:eastAsia="Calibri" w:cs="Times New Roman"/>
          <w:color w:val="000000" w:themeColor="text1"/>
          <w:szCs w:val="24"/>
        </w:rPr>
        <w:t>2021</w:t>
      </w:r>
      <w:r w:rsidR="00E6616B">
        <w:rPr>
          <w:rFonts w:eastAsia="Calibri" w:cs="Times New Roman"/>
          <w:color w:val="000000" w:themeColor="text1"/>
          <w:szCs w:val="24"/>
        </w:rPr>
        <w:t>,</w:t>
      </w:r>
      <w:r>
        <w:rPr>
          <w:rFonts w:eastAsia="Calibri" w:cs="Times New Roman"/>
          <w:color w:val="000000" w:themeColor="text1"/>
          <w:szCs w:val="24"/>
        </w:rPr>
        <w:t xml:space="preserve"> foretages følgende ændring</w:t>
      </w:r>
      <w:r w:rsidR="007647A2">
        <w:rPr>
          <w:rFonts w:eastAsia="Calibri" w:cs="Times New Roman"/>
          <w:color w:val="000000" w:themeColor="text1"/>
          <w:szCs w:val="24"/>
        </w:rPr>
        <w:t>:</w:t>
      </w:r>
    </w:p>
    <w:p w14:paraId="79E311CC" w14:textId="07594250" w:rsidR="007647A2" w:rsidRDefault="007647A2" w:rsidP="007E42A5">
      <w:pPr>
        <w:rPr>
          <w:rFonts w:eastAsia="Calibri" w:cs="Times New Roman"/>
          <w:color w:val="000000" w:themeColor="text1"/>
          <w:szCs w:val="24"/>
        </w:rPr>
      </w:pPr>
      <w:r>
        <w:rPr>
          <w:rFonts w:eastAsia="Calibri" w:cs="Times New Roman"/>
          <w:color w:val="000000" w:themeColor="text1"/>
          <w:szCs w:val="24"/>
        </w:rPr>
        <w:t xml:space="preserve"> </w:t>
      </w:r>
    </w:p>
    <w:p w14:paraId="0AF79574" w14:textId="2308D651" w:rsidR="003A1959" w:rsidRDefault="00E6616B" w:rsidP="007E42A5">
      <w:pPr>
        <w:rPr>
          <w:rFonts w:eastAsia="Calibri" w:cs="Times New Roman"/>
          <w:color w:val="000000" w:themeColor="text1"/>
          <w:szCs w:val="24"/>
        </w:rPr>
      </w:pPr>
      <w:r>
        <w:rPr>
          <w:rFonts w:eastAsia="Calibri" w:cs="Times New Roman"/>
          <w:b/>
          <w:bCs/>
          <w:color w:val="000000" w:themeColor="text1"/>
          <w:szCs w:val="24"/>
        </w:rPr>
        <w:lastRenderedPageBreak/>
        <w:t xml:space="preserve">1. </w:t>
      </w:r>
      <w:r w:rsidR="007647A2">
        <w:rPr>
          <w:rFonts w:eastAsia="Calibri" w:cs="Times New Roman"/>
          <w:color w:val="000000" w:themeColor="text1"/>
          <w:szCs w:val="24"/>
        </w:rPr>
        <w:t xml:space="preserve">I </w:t>
      </w:r>
      <w:r w:rsidR="007647A2" w:rsidRPr="00255CB9">
        <w:rPr>
          <w:rFonts w:eastAsia="Calibri" w:cs="Times New Roman"/>
          <w:i/>
          <w:iCs/>
          <w:color w:val="000000" w:themeColor="text1"/>
          <w:szCs w:val="24"/>
        </w:rPr>
        <w:t>§ 1, stk. 2. 2. pkt.</w:t>
      </w:r>
      <w:r w:rsidR="00965143">
        <w:rPr>
          <w:rFonts w:eastAsia="Calibri" w:cs="Times New Roman"/>
          <w:i/>
          <w:iCs/>
          <w:color w:val="000000" w:themeColor="text1"/>
          <w:szCs w:val="24"/>
        </w:rPr>
        <w:t>,</w:t>
      </w:r>
      <w:r w:rsidR="007647A2">
        <w:rPr>
          <w:rFonts w:eastAsia="Calibri" w:cs="Times New Roman"/>
          <w:color w:val="000000" w:themeColor="text1"/>
          <w:szCs w:val="24"/>
        </w:rPr>
        <w:t xml:space="preserve"> ændres ”lov om beskatning af fortjeneste ved afståelse af fast ejendoms” til: ”ejendomsavancebeskatningslovens”</w:t>
      </w:r>
      <w:r w:rsidR="008941B9">
        <w:rPr>
          <w:rFonts w:eastAsia="Calibri" w:cs="Times New Roman"/>
          <w:color w:val="000000" w:themeColor="text1"/>
          <w:szCs w:val="24"/>
        </w:rPr>
        <w:t>.</w:t>
      </w:r>
    </w:p>
    <w:p w14:paraId="2824D366" w14:textId="77777777" w:rsidR="003A1959" w:rsidRPr="00815B3E" w:rsidRDefault="003A1959" w:rsidP="007E42A5">
      <w:pPr>
        <w:rPr>
          <w:rFonts w:eastAsia="Calibri" w:cs="Times New Roman"/>
          <w:color w:val="000000" w:themeColor="text1"/>
          <w:szCs w:val="24"/>
        </w:rPr>
      </w:pPr>
    </w:p>
    <w:p w14:paraId="5CDD36C5" w14:textId="12DBEF09" w:rsidR="007E42A5" w:rsidRPr="00815B3E" w:rsidRDefault="007E42A5" w:rsidP="007E42A5">
      <w:pPr>
        <w:jc w:val="center"/>
        <w:rPr>
          <w:rFonts w:eastAsia="Calibri" w:cs="Times New Roman"/>
          <w:b/>
          <w:color w:val="000000" w:themeColor="text1"/>
          <w:szCs w:val="24"/>
        </w:rPr>
      </w:pPr>
      <w:r w:rsidRPr="00815B3E">
        <w:rPr>
          <w:rFonts w:eastAsia="Calibri" w:cs="Times New Roman"/>
          <w:b/>
          <w:color w:val="000000" w:themeColor="text1"/>
          <w:szCs w:val="24"/>
        </w:rPr>
        <w:t xml:space="preserve">§ </w:t>
      </w:r>
      <w:r w:rsidR="00965143">
        <w:rPr>
          <w:rFonts w:eastAsia="Calibri" w:cs="Times New Roman"/>
          <w:b/>
          <w:color w:val="000000" w:themeColor="text1"/>
          <w:szCs w:val="24"/>
        </w:rPr>
        <w:t>9</w:t>
      </w:r>
    </w:p>
    <w:p w14:paraId="2D8B032D" w14:textId="77777777" w:rsidR="007E42A5" w:rsidRPr="00815B3E" w:rsidRDefault="007E42A5" w:rsidP="007E42A5">
      <w:pPr>
        <w:jc w:val="center"/>
        <w:rPr>
          <w:rFonts w:eastAsia="Calibri" w:cs="Times New Roman"/>
          <w:b/>
          <w:color w:val="000000" w:themeColor="text1"/>
          <w:szCs w:val="24"/>
        </w:rPr>
      </w:pPr>
    </w:p>
    <w:p w14:paraId="2797FCB0" w14:textId="1454D79F" w:rsidR="001E2ABE" w:rsidRDefault="001E2ABE" w:rsidP="00255CB9">
      <w:pPr>
        <w:rPr>
          <w:rFonts w:eastAsia="Calibri" w:cs="Times New Roman"/>
          <w:bCs/>
          <w:color w:val="000000" w:themeColor="text1"/>
          <w:szCs w:val="24"/>
        </w:rPr>
      </w:pPr>
      <w:r w:rsidRPr="00255CB9">
        <w:rPr>
          <w:rFonts w:eastAsia="Calibri" w:cs="Times New Roman"/>
          <w:bCs/>
          <w:i/>
          <w:iCs/>
          <w:color w:val="000000" w:themeColor="text1"/>
          <w:szCs w:val="24"/>
        </w:rPr>
        <w:t xml:space="preserve">Stk. 1. </w:t>
      </w:r>
      <w:r w:rsidR="00223DF9" w:rsidRPr="00815B3E">
        <w:rPr>
          <w:rFonts w:eastAsia="Calibri" w:cs="Times New Roman"/>
          <w:bCs/>
          <w:color w:val="000000" w:themeColor="text1"/>
          <w:szCs w:val="24"/>
        </w:rPr>
        <w:t>Loven træder i kraft den 1. januar 2023</w:t>
      </w:r>
    </w:p>
    <w:p w14:paraId="4F28B0D6" w14:textId="1A6DE7D7" w:rsidR="00223DF9" w:rsidRPr="00815B3E" w:rsidRDefault="001E2ABE" w:rsidP="00255CB9">
      <w:pPr>
        <w:rPr>
          <w:rFonts w:eastAsia="Calibri" w:cs="Times New Roman"/>
          <w:bCs/>
          <w:color w:val="000000" w:themeColor="text1"/>
          <w:szCs w:val="24"/>
        </w:rPr>
      </w:pPr>
      <w:r>
        <w:rPr>
          <w:rFonts w:eastAsia="Calibri" w:cs="Times New Roman"/>
          <w:bCs/>
          <w:i/>
          <w:iCs/>
          <w:color w:val="000000" w:themeColor="text1"/>
          <w:szCs w:val="24"/>
        </w:rPr>
        <w:t>Stk. 2.</w:t>
      </w:r>
      <w:r w:rsidR="00223DF9" w:rsidRPr="00815B3E">
        <w:rPr>
          <w:rFonts w:eastAsia="Calibri" w:cs="Times New Roman"/>
          <w:bCs/>
          <w:color w:val="000000" w:themeColor="text1"/>
          <w:szCs w:val="24"/>
        </w:rPr>
        <w:t xml:space="preserve"> </w:t>
      </w:r>
      <w:r>
        <w:rPr>
          <w:rFonts w:eastAsia="Calibri" w:cs="Times New Roman"/>
          <w:bCs/>
          <w:color w:val="000000" w:themeColor="text1"/>
          <w:szCs w:val="24"/>
        </w:rPr>
        <w:t xml:space="preserve">Loven har virkning for </w:t>
      </w:r>
      <w:r w:rsidR="00223DF9" w:rsidRPr="00815B3E">
        <w:rPr>
          <w:rFonts w:eastAsia="Calibri" w:cs="Times New Roman"/>
          <w:bCs/>
          <w:color w:val="000000" w:themeColor="text1"/>
          <w:szCs w:val="24"/>
        </w:rPr>
        <w:t xml:space="preserve">indkomstår, der påbegyndes den 1. januar 2023 eller senere. </w:t>
      </w:r>
    </w:p>
    <w:p w14:paraId="14FE127D" w14:textId="77777777" w:rsidR="007E42A5" w:rsidRPr="00815B3E" w:rsidRDefault="007E42A5" w:rsidP="007E42A5">
      <w:pPr>
        <w:rPr>
          <w:rFonts w:eastAsia="Calibri" w:cs="Times New Roman"/>
          <w:i/>
          <w:color w:val="000000" w:themeColor="text1"/>
          <w:szCs w:val="24"/>
        </w:rPr>
      </w:pPr>
    </w:p>
    <w:p w14:paraId="72180579" w14:textId="77777777" w:rsidR="007E42A5" w:rsidRPr="00815B3E" w:rsidRDefault="007E42A5" w:rsidP="007E42A5">
      <w:pPr>
        <w:rPr>
          <w:rFonts w:eastAsia="Calibri" w:cs="Times New Roman"/>
          <w:i/>
          <w:color w:val="000000" w:themeColor="text1"/>
          <w:szCs w:val="24"/>
        </w:rPr>
      </w:pPr>
    </w:p>
    <w:p w14:paraId="1E96D86A" w14:textId="77777777" w:rsidR="007E42A5" w:rsidRPr="00815B3E" w:rsidRDefault="007E42A5" w:rsidP="007E42A5">
      <w:pPr>
        <w:spacing w:after="240"/>
        <w:jc w:val="center"/>
        <w:rPr>
          <w:rFonts w:eastAsia="Calibri" w:cs="Times New Roman"/>
          <w:i/>
          <w:color w:val="000000" w:themeColor="text1"/>
          <w:szCs w:val="24"/>
        </w:rPr>
        <w:sectPr w:rsidR="007E42A5" w:rsidRPr="00815B3E" w:rsidSect="00D712BA">
          <w:headerReference w:type="default" r:id="rId8"/>
          <w:footerReference w:type="default" r:id="rId9"/>
          <w:headerReference w:type="first" r:id="rId10"/>
          <w:pgSz w:w="11906" w:h="16838" w:code="9"/>
          <w:pgMar w:top="1418" w:right="3260" w:bottom="1134" w:left="1418" w:header="0" w:footer="709" w:gutter="0"/>
          <w:cols w:space="708"/>
          <w:titlePg/>
          <w:docGrid w:linePitch="360"/>
        </w:sectPr>
      </w:pPr>
    </w:p>
    <w:p w14:paraId="1BF90BE3" w14:textId="77777777" w:rsidR="007E42A5" w:rsidRPr="00815B3E" w:rsidRDefault="007E42A5" w:rsidP="007E42A5">
      <w:pPr>
        <w:spacing w:after="240"/>
        <w:jc w:val="center"/>
        <w:rPr>
          <w:rFonts w:eastAsia="Calibri" w:cs="Times New Roman"/>
          <w:i/>
          <w:color w:val="000000" w:themeColor="text1"/>
          <w:szCs w:val="24"/>
        </w:rPr>
      </w:pPr>
      <w:r w:rsidRPr="00815B3E">
        <w:rPr>
          <w:rFonts w:eastAsia="Calibri" w:cs="Times New Roman"/>
          <w:i/>
          <w:color w:val="000000" w:themeColor="text1"/>
          <w:szCs w:val="24"/>
        </w:rPr>
        <w:lastRenderedPageBreak/>
        <w:t>Bemærkninger til lovforslaget</w:t>
      </w:r>
    </w:p>
    <w:p w14:paraId="3C49D1D7" w14:textId="77777777" w:rsidR="007E42A5" w:rsidRPr="00815B3E" w:rsidRDefault="007E42A5" w:rsidP="007E42A5">
      <w:pPr>
        <w:spacing w:after="240"/>
        <w:jc w:val="center"/>
        <w:rPr>
          <w:rFonts w:eastAsia="Calibri" w:cs="Times New Roman"/>
          <w:i/>
          <w:color w:val="000000" w:themeColor="text1"/>
          <w:szCs w:val="24"/>
        </w:rPr>
      </w:pPr>
      <w:r w:rsidRPr="00815B3E">
        <w:rPr>
          <w:rFonts w:eastAsia="Calibri" w:cs="Times New Roman"/>
          <w:i/>
          <w:color w:val="000000" w:themeColor="text1"/>
          <w:szCs w:val="24"/>
        </w:rPr>
        <w:t>Almindelige bemærkninger</w:t>
      </w:r>
    </w:p>
    <w:p w14:paraId="7703FECB" w14:textId="77777777" w:rsidR="007E42A5" w:rsidRPr="00815B3E" w:rsidRDefault="007E42A5" w:rsidP="007E42A5">
      <w:pPr>
        <w:spacing w:after="240"/>
        <w:rPr>
          <w:rFonts w:eastAsia="Calibri" w:cs="Times New Roman"/>
          <w:color w:val="000000" w:themeColor="text1"/>
          <w:szCs w:val="24"/>
        </w:rPr>
      </w:pPr>
      <w:r w:rsidRPr="00815B3E">
        <w:rPr>
          <w:rFonts w:eastAsia="Calibri" w:cs="Times New Roman"/>
          <w:color w:val="000000" w:themeColor="text1"/>
          <w:szCs w:val="24"/>
        </w:rPr>
        <w:t>Indholdsfortegnelse</w:t>
      </w:r>
    </w:p>
    <w:p w14:paraId="6F529BD8" w14:textId="77777777" w:rsidR="007E42A5" w:rsidRPr="00815B3E" w:rsidRDefault="007E42A5" w:rsidP="007E42A5">
      <w:pPr>
        <w:spacing w:after="240"/>
        <w:rPr>
          <w:rFonts w:eastAsia="Calibri" w:cs="Times New Roman"/>
          <w:color w:val="000000" w:themeColor="text1"/>
          <w:szCs w:val="24"/>
        </w:rPr>
      </w:pPr>
      <w:r w:rsidRPr="00815B3E">
        <w:rPr>
          <w:rFonts w:eastAsia="Calibri" w:cs="Times New Roman"/>
          <w:color w:val="000000" w:themeColor="text1"/>
          <w:szCs w:val="24"/>
        </w:rPr>
        <w:t>1. Indledning</w:t>
      </w:r>
    </w:p>
    <w:p w14:paraId="3B4BA5FF" w14:textId="7FA0F3F1" w:rsidR="007E42A5" w:rsidRPr="00815B3E" w:rsidRDefault="00264BFD" w:rsidP="007E42A5">
      <w:pPr>
        <w:spacing w:after="240"/>
        <w:rPr>
          <w:rFonts w:eastAsia="Calibri" w:cs="Times New Roman"/>
          <w:color w:val="000000" w:themeColor="text1"/>
          <w:szCs w:val="24"/>
        </w:rPr>
      </w:pPr>
      <w:r>
        <w:rPr>
          <w:rFonts w:eastAsia="Calibri" w:cs="Times New Roman"/>
          <w:color w:val="000000" w:themeColor="text1"/>
          <w:szCs w:val="24"/>
        </w:rPr>
        <w:t>2</w:t>
      </w:r>
      <w:r w:rsidR="007E42A5" w:rsidRPr="00815B3E">
        <w:rPr>
          <w:rFonts w:eastAsia="Calibri" w:cs="Times New Roman"/>
          <w:color w:val="000000" w:themeColor="text1"/>
          <w:szCs w:val="24"/>
        </w:rPr>
        <w:t>. Lovforslagets hovedpunkter</w:t>
      </w:r>
    </w:p>
    <w:p w14:paraId="602C0166" w14:textId="1929B37D" w:rsidR="007E42A5" w:rsidRPr="00815B3E" w:rsidRDefault="00264BFD" w:rsidP="007E42A5">
      <w:pPr>
        <w:spacing w:after="240"/>
        <w:rPr>
          <w:rFonts w:eastAsia="Calibri" w:cs="Times New Roman"/>
          <w:color w:val="000000" w:themeColor="text1"/>
          <w:szCs w:val="24"/>
        </w:rPr>
      </w:pPr>
      <w:r>
        <w:rPr>
          <w:rFonts w:eastAsia="Calibri" w:cs="Times New Roman"/>
          <w:color w:val="000000" w:themeColor="text1"/>
          <w:szCs w:val="24"/>
        </w:rPr>
        <w:t>2</w:t>
      </w:r>
      <w:r w:rsidR="007E42A5" w:rsidRPr="00815B3E">
        <w:rPr>
          <w:rFonts w:eastAsia="Calibri" w:cs="Times New Roman"/>
          <w:color w:val="000000" w:themeColor="text1"/>
          <w:szCs w:val="24"/>
        </w:rPr>
        <w:t xml:space="preserve">.1. </w:t>
      </w:r>
      <w:r>
        <w:rPr>
          <w:rFonts w:eastAsia="Calibri" w:cs="Times New Roman"/>
          <w:color w:val="000000" w:themeColor="text1"/>
          <w:szCs w:val="24"/>
        </w:rPr>
        <w:t>Lagerbeskatning af selskabers ejendomsavancer</w:t>
      </w:r>
    </w:p>
    <w:p w14:paraId="133E9720" w14:textId="6FD779B4" w:rsidR="007E42A5" w:rsidRPr="00815B3E" w:rsidRDefault="00264BFD" w:rsidP="007E42A5">
      <w:pPr>
        <w:spacing w:after="240"/>
        <w:rPr>
          <w:rFonts w:eastAsia="Calibri" w:cs="Times New Roman"/>
          <w:color w:val="000000" w:themeColor="text1"/>
          <w:szCs w:val="24"/>
        </w:rPr>
      </w:pPr>
      <w:r>
        <w:rPr>
          <w:rFonts w:eastAsia="Calibri" w:cs="Times New Roman"/>
          <w:color w:val="000000" w:themeColor="text1"/>
          <w:szCs w:val="24"/>
        </w:rPr>
        <w:t>2</w:t>
      </w:r>
      <w:r w:rsidR="007E42A5" w:rsidRPr="00815B3E">
        <w:rPr>
          <w:rFonts w:eastAsia="Calibri" w:cs="Times New Roman"/>
          <w:color w:val="000000" w:themeColor="text1"/>
          <w:szCs w:val="24"/>
        </w:rPr>
        <w:t>.1.1. Gældende ret</w:t>
      </w:r>
    </w:p>
    <w:p w14:paraId="63385DC5" w14:textId="136CCB9B" w:rsidR="007E42A5" w:rsidRPr="00815B3E" w:rsidRDefault="00264BFD" w:rsidP="007E42A5">
      <w:pPr>
        <w:spacing w:after="240"/>
        <w:rPr>
          <w:rFonts w:eastAsia="Calibri" w:cs="Times New Roman"/>
          <w:color w:val="000000" w:themeColor="text1"/>
          <w:szCs w:val="24"/>
        </w:rPr>
      </w:pPr>
      <w:r>
        <w:rPr>
          <w:rFonts w:eastAsia="Calibri" w:cs="Times New Roman"/>
          <w:color w:val="000000" w:themeColor="text1"/>
          <w:szCs w:val="24"/>
        </w:rPr>
        <w:t>2</w:t>
      </w:r>
      <w:r w:rsidR="007E42A5" w:rsidRPr="00815B3E">
        <w:rPr>
          <w:rFonts w:eastAsia="Calibri" w:cs="Times New Roman"/>
          <w:color w:val="000000" w:themeColor="text1"/>
          <w:szCs w:val="24"/>
        </w:rPr>
        <w:t xml:space="preserve">.1.2. </w:t>
      </w:r>
      <w:r>
        <w:rPr>
          <w:rFonts w:eastAsia="Calibri" w:cs="Times New Roman"/>
          <w:color w:val="000000" w:themeColor="text1"/>
          <w:szCs w:val="24"/>
        </w:rPr>
        <w:t>Skatte</w:t>
      </w:r>
      <w:r w:rsidR="007E42A5" w:rsidRPr="00815B3E">
        <w:rPr>
          <w:rFonts w:eastAsia="Calibri" w:cs="Times New Roman"/>
          <w:color w:val="000000" w:themeColor="text1"/>
          <w:szCs w:val="24"/>
        </w:rPr>
        <w:t>ministeriets overvejelser</w:t>
      </w:r>
    </w:p>
    <w:p w14:paraId="047242C9" w14:textId="4FCBBB3F" w:rsidR="007E42A5" w:rsidRPr="00815B3E" w:rsidRDefault="00264BFD" w:rsidP="007E42A5">
      <w:pPr>
        <w:spacing w:after="240"/>
        <w:rPr>
          <w:rFonts w:eastAsia="Calibri" w:cs="Times New Roman"/>
          <w:color w:val="000000" w:themeColor="text1"/>
          <w:szCs w:val="24"/>
        </w:rPr>
      </w:pPr>
      <w:r>
        <w:rPr>
          <w:rFonts w:eastAsia="Calibri" w:cs="Times New Roman"/>
          <w:color w:val="000000" w:themeColor="text1"/>
          <w:szCs w:val="24"/>
        </w:rPr>
        <w:t>2</w:t>
      </w:r>
      <w:r w:rsidR="007E42A5" w:rsidRPr="00815B3E">
        <w:rPr>
          <w:rFonts w:eastAsia="Calibri" w:cs="Times New Roman"/>
          <w:color w:val="000000" w:themeColor="text1"/>
          <w:szCs w:val="24"/>
        </w:rPr>
        <w:t>.1.3. Den foreslåede ordning</w:t>
      </w:r>
    </w:p>
    <w:p w14:paraId="2E78C1EF" w14:textId="555C7096" w:rsidR="007E42A5" w:rsidRPr="00815B3E" w:rsidRDefault="00264BFD" w:rsidP="007E42A5">
      <w:pPr>
        <w:spacing w:after="240"/>
        <w:rPr>
          <w:rFonts w:eastAsia="Calibri" w:cs="Times New Roman"/>
          <w:color w:val="000000" w:themeColor="text1"/>
          <w:szCs w:val="24"/>
        </w:rPr>
      </w:pPr>
      <w:r>
        <w:rPr>
          <w:rFonts w:eastAsia="Calibri" w:cs="Times New Roman"/>
          <w:color w:val="000000" w:themeColor="text1"/>
          <w:szCs w:val="24"/>
        </w:rPr>
        <w:t>2</w:t>
      </w:r>
      <w:r w:rsidR="007E42A5" w:rsidRPr="00815B3E">
        <w:rPr>
          <w:rFonts w:eastAsia="Calibri" w:cs="Times New Roman"/>
          <w:color w:val="000000" w:themeColor="text1"/>
          <w:szCs w:val="24"/>
        </w:rPr>
        <w:t xml:space="preserve">.2. </w:t>
      </w:r>
      <w:r>
        <w:rPr>
          <w:rFonts w:eastAsia="Calibri" w:cs="Times New Roman"/>
          <w:color w:val="000000" w:themeColor="text1"/>
          <w:szCs w:val="24"/>
        </w:rPr>
        <w:t>Fastholdelse af loft over investorfradraget</w:t>
      </w:r>
    </w:p>
    <w:p w14:paraId="69B4A80B" w14:textId="56581AA9" w:rsidR="007E42A5" w:rsidRPr="00815B3E" w:rsidRDefault="00264BFD" w:rsidP="007E42A5">
      <w:pPr>
        <w:spacing w:after="240"/>
        <w:rPr>
          <w:rFonts w:eastAsia="Calibri" w:cs="Times New Roman"/>
          <w:color w:val="000000" w:themeColor="text1"/>
          <w:szCs w:val="24"/>
        </w:rPr>
      </w:pPr>
      <w:r>
        <w:rPr>
          <w:rFonts w:eastAsia="Calibri" w:cs="Times New Roman"/>
          <w:color w:val="000000" w:themeColor="text1"/>
          <w:szCs w:val="24"/>
        </w:rPr>
        <w:t>2</w:t>
      </w:r>
      <w:r w:rsidR="007E42A5" w:rsidRPr="00815B3E">
        <w:rPr>
          <w:rFonts w:eastAsia="Calibri" w:cs="Times New Roman"/>
          <w:color w:val="000000" w:themeColor="text1"/>
          <w:szCs w:val="24"/>
        </w:rPr>
        <w:t>.2.1. Gældende ret</w:t>
      </w:r>
    </w:p>
    <w:p w14:paraId="529F8D01" w14:textId="5E84F807" w:rsidR="007E42A5" w:rsidRPr="00815B3E" w:rsidRDefault="00264BFD" w:rsidP="007E42A5">
      <w:pPr>
        <w:spacing w:after="240"/>
        <w:rPr>
          <w:rFonts w:eastAsia="Calibri" w:cs="Times New Roman"/>
          <w:color w:val="000000" w:themeColor="text1"/>
          <w:szCs w:val="24"/>
        </w:rPr>
      </w:pPr>
      <w:r>
        <w:rPr>
          <w:rFonts w:eastAsia="Calibri" w:cs="Times New Roman"/>
          <w:color w:val="000000" w:themeColor="text1"/>
          <w:szCs w:val="24"/>
        </w:rPr>
        <w:t>2</w:t>
      </w:r>
      <w:r w:rsidR="007E42A5" w:rsidRPr="00815B3E">
        <w:rPr>
          <w:rFonts w:eastAsia="Calibri" w:cs="Times New Roman"/>
          <w:color w:val="000000" w:themeColor="text1"/>
          <w:szCs w:val="24"/>
        </w:rPr>
        <w:t xml:space="preserve">.2.2. </w:t>
      </w:r>
      <w:r>
        <w:rPr>
          <w:rFonts w:eastAsia="Calibri" w:cs="Times New Roman"/>
          <w:color w:val="000000" w:themeColor="text1"/>
          <w:szCs w:val="24"/>
        </w:rPr>
        <w:t>Skatte</w:t>
      </w:r>
      <w:r w:rsidR="007E42A5" w:rsidRPr="00815B3E">
        <w:rPr>
          <w:rFonts w:eastAsia="Calibri" w:cs="Times New Roman"/>
          <w:color w:val="000000" w:themeColor="text1"/>
          <w:szCs w:val="24"/>
        </w:rPr>
        <w:t>ministeriets overvejelser</w:t>
      </w:r>
    </w:p>
    <w:p w14:paraId="4DF1457D" w14:textId="2E2C15B0" w:rsidR="007E42A5" w:rsidRPr="00815B3E" w:rsidRDefault="00264BFD" w:rsidP="007E42A5">
      <w:pPr>
        <w:spacing w:after="240"/>
        <w:rPr>
          <w:rFonts w:eastAsia="Calibri" w:cs="Times New Roman"/>
          <w:color w:val="000000" w:themeColor="text1"/>
          <w:szCs w:val="24"/>
        </w:rPr>
      </w:pPr>
      <w:r>
        <w:rPr>
          <w:rFonts w:eastAsia="Calibri" w:cs="Times New Roman"/>
          <w:color w:val="000000" w:themeColor="text1"/>
          <w:szCs w:val="24"/>
        </w:rPr>
        <w:t>2</w:t>
      </w:r>
      <w:r w:rsidR="007E42A5" w:rsidRPr="00815B3E">
        <w:rPr>
          <w:rFonts w:eastAsia="Calibri" w:cs="Times New Roman"/>
          <w:color w:val="000000" w:themeColor="text1"/>
          <w:szCs w:val="24"/>
        </w:rPr>
        <w:t>.2.3. Den foreslåede ordning</w:t>
      </w:r>
    </w:p>
    <w:p w14:paraId="3C03BC5B" w14:textId="64E55C37" w:rsidR="007E42A5" w:rsidRDefault="00264BFD" w:rsidP="007E42A5">
      <w:pPr>
        <w:spacing w:after="240"/>
        <w:rPr>
          <w:rFonts w:eastAsia="Calibri" w:cs="Times New Roman"/>
          <w:color w:val="000000" w:themeColor="text1"/>
          <w:szCs w:val="24"/>
        </w:rPr>
      </w:pPr>
      <w:r>
        <w:rPr>
          <w:rFonts w:eastAsia="Calibri" w:cs="Times New Roman"/>
          <w:color w:val="000000" w:themeColor="text1"/>
          <w:szCs w:val="24"/>
        </w:rPr>
        <w:t>3</w:t>
      </w:r>
      <w:r w:rsidR="007E42A5" w:rsidRPr="00815B3E">
        <w:rPr>
          <w:rFonts w:eastAsia="Calibri" w:cs="Times New Roman"/>
          <w:color w:val="000000" w:themeColor="text1"/>
          <w:szCs w:val="24"/>
        </w:rPr>
        <w:t>. Økonomiske konsekvenser og implementeringskonsekvenser for det offentlige</w:t>
      </w:r>
    </w:p>
    <w:p w14:paraId="4E0FA7C9" w14:textId="6B9B8813" w:rsidR="003A3C29" w:rsidRDefault="003A3C29" w:rsidP="007E42A5">
      <w:pPr>
        <w:spacing w:after="240"/>
        <w:rPr>
          <w:rFonts w:eastAsia="Calibri" w:cs="Times New Roman"/>
          <w:color w:val="000000" w:themeColor="text1"/>
          <w:szCs w:val="24"/>
        </w:rPr>
      </w:pPr>
      <w:r>
        <w:rPr>
          <w:rFonts w:eastAsia="Calibri" w:cs="Times New Roman"/>
          <w:color w:val="000000" w:themeColor="text1"/>
          <w:szCs w:val="24"/>
        </w:rPr>
        <w:t>3.1 Lagerbeskatning af selskabers ejendomsavancer</w:t>
      </w:r>
    </w:p>
    <w:p w14:paraId="48C0302C" w14:textId="0AFBD68E" w:rsidR="003A3C29" w:rsidRPr="00815B3E" w:rsidRDefault="003A3C29" w:rsidP="007E42A5">
      <w:pPr>
        <w:spacing w:after="240"/>
        <w:rPr>
          <w:rFonts w:eastAsia="Calibri" w:cs="Times New Roman"/>
          <w:color w:val="000000" w:themeColor="text1"/>
          <w:szCs w:val="24"/>
        </w:rPr>
      </w:pPr>
      <w:r>
        <w:rPr>
          <w:rFonts w:eastAsia="Calibri" w:cs="Times New Roman"/>
          <w:color w:val="000000" w:themeColor="text1"/>
          <w:szCs w:val="24"/>
        </w:rPr>
        <w:t>3.2 Fastholdelse af loftet over investorfradraget</w:t>
      </w:r>
    </w:p>
    <w:p w14:paraId="765DB0C5" w14:textId="624A1605" w:rsidR="007E42A5" w:rsidRDefault="00264BFD" w:rsidP="007E42A5">
      <w:pPr>
        <w:spacing w:after="240"/>
        <w:rPr>
          <w:rFonts w:eastAsia="Calibri" w:cs="Times New Roman"/>
          <w:color w:val="000000" w:themeColor="text1"/>
          <w:szCs w:val="24"/>
        </w:rPr>
      </w:pPr>
      <w:r>
        <w:rPr>
          <w:rFonts w:eastAsia="Calibri" w:cs="Times New Roman"/>
          <w:color w:val="000000" w:themeColor="text1"/>
          <w:szCs w:val="24"/>
        </w:rPr>
        <w:t>4</w:t>
      </w:r>
      <w:r w:rsidR="007E42A5" w:rsidRPr="00815B3E">
        <w:rPr>
          <w:rFonts w:eastAsia="Calibri" w:cs="Times New Roman"/>
          <w:color w:val="000000" w:themeColor="text1"/>
          <w:szCs w:val="24"/>
        </w:rPr>
        <w:t>. Økonomiske og administrative konsekvenser for erhvervslivet m.v.</w:t>
      </w:r>
    </w:p>
    <w:p w14:paraId="3CD9B255" w14:textId="301DF6CE" w:rsidR="003A3C29" w:rsidRDefault="003A3C29" w:rsidP="003A3C29">
      <w:pPr>
        <w:spacing w:after="240"/>
        <w:rPr>
          <w:rFonts w:eastAsia="Calibri" w:cs="Times New Roman"/>
          <w:color w:val="000000" w:themeColor="text1"/>
          <w:szCs w:val="24"/>
        </w:rPr>
      </w:pPr>
      <w:r>
        <w:rPr>
          <w:rFonts w:eastAsia="Calibri" w:cs="Times New Roman"/>
          <w:color w:val="000000" w:themeColor="text1"/>
          <w:szCs w:val="24"/>
        </w:rPr>
        <w:t>4.1 Lagerbeskatning af selskabers ejendomsavancer</w:t>
      </w:r>
    </w:p>
    <w:p w14:paraId="4F3B9BED" w14:textId="666BA8CE" w:rsidR="003A3C29" w:rsidRPr="00815B3E" w:rsidRDefault="003A3C29" w:rsidP="007E42A5">
      <w:pPr>
        <w:spacing w:after="240"/>
        <w:rPr>
          <w:rFonts w:eastAsia="Calibri" w:cs="Times New Roman"/>
          <w:color w:val="000000" w:themeColor="text1"/>
          <w:szCs w:val="24"/>
        </w:rPr>
      </w:pPr>
      <w:r>
        <w:rPr>
          <w:rFonts w:eastAsia="Calibri" w:cs="Times New Roman"/>
          <w:color w:val="000000" w:themeColor="text1"/>
          <w:szCs w:val="24"/>
        </w:rPr>
        <w:t>4.2 Fastholdelse af loftet over investorfradraget</w:t>
      </w:r>
    </w:p>
    <w:p w14:paraId="03535AE0" w14:textId="60413293" w:rsidR="007E42A5" w:rsidRPr="00815B3E" w:rsidRDefault="00264BFD" w:rsidP="007E42A5">
      <w:pPr>
        <w:spacing w:after="240"/>
        <w:rPr>
          <w:rFonts w:eastAsia="Calibri" w:cs="Times New Roman"/>
          <w:color w:val="000000" w:themeColor="text1"/>
          <w:szCs w:val="24"/>
        </w:rPr>
      </w:pPr>
      <w:r>
        <w:rPr>
          <w:rFonts w:eastAsia="Calibri" w:cs="Times New Roman"/>
          <w:color w:val="000000" w:themeColor="text1"/>
          <w:szCs w:val="24"/>
        </w:rPr>
        <w:t>5</w:t>
      </w:r>
      <w:r w:rsidR="007E42A5" w:rsidRPr="00815B3E">
        <w:rPr>
          <w:rFonts w:eastAsia="Calibri" w:cs="Times New Roman"/>
          <w:color w:val="000000" w:themeColor="text1"/>
          <w:szCs w:val="24"/>
        </w:rPr>
        <w:t>. Administrative konsekvenser for borgerne</w:t>
      </w:r>
    </w:p>
    <w:p w14:paraId="2FD1E6AB" w14:textId="403E0E77" w:rsidR="007E42A5" w:rsidRPr="00815B3E" w:rsidRDefault="00264BFD" w:rsidP="007E42A5">
      <w:pPr>
        <w:spacing w:after="240"/>
        <w:rPr>
          <w:rFonts w:eastAsia="Calibri" w:cs="Times New Roman"/>
          <w:color w:val="000000" w:themeColor="text1"/>
          <w:szCs w:val="24"/>
        </w:rPr>
      </w:pPr>
      <w:r>
        <w:rPr>
          <w:rFonts w:eastAsia="Calibri" w:cs="Times New Roman"/>
          <w:color w:val="000000" w:themeColor="text1"/>
          <w:szCs w:val="24"/>
        </w:rPr>
        <w:t>6</w:t>
      </w:r>
      <w:r w:rsidR="007E42A5" w:rsidRPr="00815B3E">
        <w:rPr>
          <w:rFonts w:eastAsia="Calibri" w:cs="Times New Roman"/>
          <w:color w:val="000000" w:themeColor="text1"/>
          <w:szCs w:val="24"/>
        </w:rPr>
        <w:t xml:space="preserve">. </w:t>
      </w:r>
      <w:r w:rsidR="002C79FB" w:rsidRPr="00815B3E">
        <w:rPr>
          <w:rFonts w:eastAsia="Calibri" w:cs="Times New Roman"/>
          <w:color w:val="000000" w:themeColor="text1"/>
          <w:szCs w:val="24"/>
        </w:rPr>
        <w:t>Klima</w:t>
      </w:r>
      <w:r w:rsidR="007E42A5" w:rsidRPr="00815B3E">
        <w:rPr>
          <w:rFonts w:eastAsia="Calibri" w:cs="Times New Roman"/>
          <w:color w:val="000000" w:themeColor="text1"/>
          <w:szCs w:val="24"/>
        </w:rPr>
        <w:t>mæssige konsekvenser</w:t>
      </w:r>
    </w:p>
    <w:p w14:paraId="228AF6CE" w14:textId="27BDB5A3" w:rsidR="006E3FE2" w:rsidRPr="00815B3E" w:rsidRDefault="00264BFD" w:rsidP="007E42A5">
      <w:pPr>
        <w:spacing w:after="240"/>
        <w:rPr>
          <w:rFonts w:eastAsia="Calibri" w:cs="Times New Roman"/>
          <w:color w:val="000000" w:themeColor="text1"/>
          <w:szCs w:val="24"/>
        </w:rPr>
      </w:pPr>
      <w:r>
        <w:rPr>
          <w:rFonts w:eastAsia="Calibri" w:cs="Times New Roman"/>
          <w:color w:val="000000" w:themeColor="text1"/>
          <w:szCs w:val="24"/>
        </w:rPr>
        <w:t>7</w:t>
      </w:r>
      <w:r w:rsidR="006E3FE2" w:rsidRPr="00815B3E">
        <w:rPr>
          <w:rFonts w:eastAsia="Calibri" w:cs="Times New Roman"/>
          <w:color w:val="000000" w:themeColor="text1"/>
          <w:szCs w:val="24"/>
        </w:rPr>
        <w:t>. Miljø- og naturmæssige konsekvenser</w:t>
      </w:r>
    </w:p>
    <w:p w14:paraId="482B0EA8" w14:textId="33EDEFDA" w:rsidR="007E42A5" w:rsidRPr="00815B3E" w:rsidRDefault="00264BFD" w:rsidP="007E42A5">
      <w:pPr>
        <w:spacing w:after="240"/>
        <w:rPr>
          <w:rFonts w:eastAsia="Calibri" w:cs="Times New Roman"/>
          <w:color w:val="000000" w:themeColor="text1"/>
          <w:szCs w:val="24"/>
        </w:rPr>
      </w:pPr>
      <w:r>
        <w:rPr>
          <w:rFonts w:eastAsia="Calibri" w:cs="Times New Roman"/>
          <w:color w:val="000000" w:themeColor="text1"/>
          <w:szCs w:val="24"/>
        </w:rPr>
        <w:lastRenderedPageBreak/>
        <w:t>8</w:t>
      </w:r>
      <w:r w:rsidR="007E42A5" w:rsidRPr="00815B3E">
        <w:rPr>
          <w:rFonts w:eastAsia="Calibri" w:cs="Times New Roman"/>
          <w:color w:val="000000" w:themeColor="text1"/>
          <w:szCs w:val="24"/>
        </w:rPr>
        <w:t>. Forholdet til EU-retten</w:t>
      </w:r>
    </w:p>
    <w:p w14:paraId="36DE2A5C" w14:textId="4A175C88" w:rsidR="007E42A5" w:rsidRPr="00815B3E" w:rsidRDefault="00264BFD" w:rsidP="007E42A5">
      <w:pPr>
        <w:spacing w:after="240"/>
        <w:rPr>
          <w:rFonts w:eastAsia="Calibri" w:cs="Times New Roman"/>
          <w:color w:val="000000" w:themeColor="text1"/>
          <w:szCs w:val="24"/>
        </w:rPr>
      </w:pPr>
      <w:r>
        <w:rPr>
          <w:rFonts w:eastAsia="Calibri" w:cs="Times New Roman"/>
          <w:color w:val="000000" w:themeColor="text1"/>
          <w:szCs w:val="24"/>
        </w:rPr>
        <w:t>9</w:t>
      </w:r>
      <w:r w:rsidR="007E42A5" w:rsidRPr="00815B3E">
        <w:rPr>
          <w:rFonts w:eastAsia="Calibri" w:cs="Times New Roman"/>
          <w:color w:val="000000" w:themeColor="text1"/>
          <w:szCs w:val="24"/>
        </w:rPr>
        <w:t>. Hørte myndigheder og organisationer m.v.</w:t>
      </w:r>
    </w:p>
    <w:p w14:paraId="040BD169" w14:textId="7D459B2E" w:rsidR="007E42A5" w:rsidRPr="00815B3E" w:rsidRDefault="006E3FE2" w:rsidP="007E42A5">
      <w:pPr>
        <w:spacing w:after="240"/>
        <w:rPr>
          <w:rFonts w:eastAsia="Calibri" w:cs="Times New Roman"/>
          <w:color w:val="000000" w:themeColor="text1"/>
          <w:szCs w:val="24"/>
        </w:rPr>
      </w:pPr>
      <w:r w:rsidRPr="00815B3E">
        <w:rPr>
          <w:rFonts w:eastAsia="Calibri" w:cs="Times New Roman"/>
          <w:color w:val="000000" w:themeColor="text1"/>
          <w:szCs w:val="24"/>
        </w:rPr>
        <w:t>1</w:t>
      </w:r>
      <w:r w:rsidR="00264BFD">
        <w:rPr>
          <w:rFonts w:eastAsia="Calibri" w:cs="Times New Roman"/>
          <w:color w:val="000000" w:themeColor="text1"/>
          <w:szCs w:val="24"/>
        </w:rPr>
        <w:t>0</w:t>
      </w:r>
      <w:r w:rsidR="007E42A5" w:rsidRPr="00815B3E">
        <w:rPr>
          <w:rFonts w:eastAsia="Calibri" w:cs="Times New Roman"/>
          <w:color w:val="000000" w:themeColor="text1"/>
          <w:szCs w:val="24"/>
        </w:rPr>
        <w:t>. Sammenfattende skema</w:t>
      </w:r>
    </w:p>
    <w:p w14:paraId="546D4F48" w14:textId="77777777" w:rsidR="007E42A5" w:rsidRPr="00815B3E" w:rsidRDefault="007E42A5" w:rsidP="007E42A5">
      <w:pPr>
        <w:spacing w:after="240"/>
        <w:rPr>
          <w:rFonts w:cs="Times New Roman"/>
          <w:color w:val="000000" w:themeColor="text1"/>
          <w:szCs w:val="24"/>
        </w:rPr>
      </w:pPr>
    </w:p>
    <w:p w14:paraId="05C23515" w14:textId="77777777" w:rsidR="009D74A4" w:rsidRPr="00815B3E" w:rsidRDefault="009D74A4" w:rsidP="009D74A4">
      <w:pPr>
        <w:pStyle w:val="Overskrift1"/>
        <w:rPr>
          <w:rFonts w:cs="Times New Roman"/>
          <w:bCs w:val="0"/>
          <w:iCs/>
          <w:color w:val="000000" w:themeColor="text1"/>
          <w:sz w:val="24"/>
          <w:szCs w:val="24"/>
        </w:rPr>
      </w:pPr>
      <w:bookmarkStart w:id="1" w:name="_Toc442277386"/>
      <w:bookmarkStart w:id="2" w:name="_Toc442281298"/>
      <w:bookmarkStart w:id="3" w:name="_Toc442281328"/>
      <w:bookmarkStart w:id="4" w:name="_Toc442777834"/>
      <w:bookmarkStart w:id="5" w:name="_Toc442787232"/>
      <w:bookmarkStart w:id="6" w:name="_Toc442787524"/>
      <w:bookmarkStart w:id="7" w:name="_Toc442953229"/>
      <w:bookmarkStart w:id="8" w:name="_Toc443047614"/>
      <w:bookmarkStart w:id="9" w:name="_Toc444095974"/>
      <w:bookmarkStart w:id="10" w:name="_Toc444244500"/>
      <w:bookmarkStart w:id="11" w:name="_Toc498557071"/>
      <w:bookmarkStart w:id="12" w:name="_Toc498557151"/>
      <w:bookmarkStart w:id="13" w:name="_Toc498557218"/>
      <w:bookmarkStart w:id="14" w:name="_Toc498557282"/>
      <w:bookmarkStart w:id="15" w:name="_Toc498590016"/>
      <w:bookmarkStart w:id="16" w:name="_Toc498681499"/>
      <w:bookmarkStart w:id="17" w:name="_Toc499152771"/>
      <w:bookmarkStart w:id="18" w:name="_Toc499158730"/>
      <w:bookmarkStart w:id="19" w:name="_Toc499648599"/>
      <w:bookmarkStart w:id="20" w:name="_Toc499728092"/>
      <w:bookmarkStart w:id="21" w:name="_Toc499732940"/>
      <w:bookmarkStart w:id="22" w:name="_Toc499736971"/>
      <w:bookmarkStart w:id="23" w:name="_Toc499812911"/>
      <w:bookmarkStart w:id="24" w:name="_Toc499813714"/>
      <w:bookmarkStart w:id="25" w:name="_Toc500921460"/>
      <w:bookmarkStart w:id="26" w:name="_Toc500921486"/>
      <w:bookmarkStart w:id="27" w:name="_Toc500921594"/>
      <w:bookmarkStart w:id="28" w:name="_Toc501019204"/>
      <w:bookmarkStart w:id="29" w:name="_Toc504483849"/>
      <w:bookmarkStart w:id="30" w:name="_Toc505180547"/>
      <w:bookmarkStart w:id="31" w:name="_Toc505690192"/>
      <w:bookmarkStart w:id="32" w:name="_Toc505701745"/>
      <w:bookmarkStart w:id="33" w:name="_Toc505759537"/>
      <w:bookmarkStart w:id="34" w:name="_Toc505759554"/>
      <w:bookmarkStart w:id="35" w:name="_Toc505762647"/>
      <w:bookmarkStart w:id="36" w:name="_Toc505785987"/>
      <w:bookmarkStart w:id="37" w:name="_Toc506799572"/>
      <w:bookmarkStart w:id="38" w:name="_Toc506799589"/>
      <w:bookmarkStart w:id="39" w:name="_Toc506894548"/>
      <w:bookmarkStart w:id="40" w:name="_Toc507486285"/>
      <w:bookmarkStart w:id="41" w:name="_Toc515271224"/>
      <w:bookmarkStart w:id="42" w:name="_Toc515271547"/>
      <w:bookmarkStart w:id="43" w:name="_Toc515271575"/>
      <w:bookmarkStart w:id="44" w:name="_Toc515280471"/>
      <w:bookmarkStart w:id="45" w:name="_Toc515280622"/>
      <w:bookmarkStart w:id="46" w:name="_Toc515352774"/>
      <w:bookmarkStart w:id="47" w:name="_Toc515540847"/>
      <w:bookmarkStart w:id="48" w:name="_Toc515543683"/>
      <w:bookmarkStart w:id="49" w:name="_Toc515543868"/>
      <w:bookmarkStart w:id="50" w:name="_Toc515551669"/>
      <w:bookmarkStart w:id="51" w:name="_Toc515627611"/>
      <w:bookmarkStart w:id="52" w:name="_Toc516039921"/>
      <w:bookmarkStart w:id="53" w:name="_Toc516155344"/>
      <w:bookmarkStart w:id="54" w:name="_Toc516490245"/>
      <w:bookmarkStart w:id="55" w:name="_Toc518037927"/>
      <w:bookmarkStart w:id="56" w:name="_Toc524599575"/>
      <w:bookmarkStart w:id="57" w:name="_Toc526154928"/>
      <w:bookmarkStart w:id="58" w:name="_Toc526155474"/>
      <w:bookmarkStart w:id="59" w:name="_Toc526155547"/>
      <w:bookmarkStart w:id="60" w:name="_Toc526253984"/>
      <w:bookmarkStart w:id="61" w:name="_Toc526348408"/>
      <w:bookmarkStart w:id="62" w:name="_Toc526374599"/>
      <w:bookmarkStart w:id="63" w:name="_Toc526374615"/>
      <w:bookmarkStart w:id="64" w:name="_Toc526406478"/>
      <w:bookmarkStart w:id="65" w:name="_Toc526409498"/>
      <w:bookmarkStart w:id="66" w:name="_Toc526491397"/>
      <w:bookmarkStart w:id="67" w:name="_Toc526505509"/>
      <w:bookmarkStart w:id="68" w:name="_Toc526756601"/>
      <w:r w:rsidRPr="00815B3E">
        <w:rPr>
          <w:rFonts w:cs="Times New Roman"/>
          <w:bCs w:val="0"/>
          <w:iCs/>
          <w:color w:val="000000" w:themeColor="text1"/>
          <w:sz w:val="24"/>
          <w:szCs w:val="24"/>
        </w:rPr>
        <w:t>1. Indledning</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653BBA49" w14:textId="26A07C94" w:rsidR="00BA7B1C" w:rsidRPr="00815B3E" w:rsidRDefault="00BA7B1C" w:rsidP="00BA7B1C">
      <w:pPr>
        <w:spacing w:after="240"/>
        <w:rPr>
          <w:color w:val="000000" w:themeColor="text1"/>
        </w:rPr>
      </w:pPr>
      <w:r w:rsidRPr="00815B3E">
        <w:rPr>
          <w:color w:val="000000" w:themeColor="text1"/>
        </w:rPr>
        <w:t>Regeringen (Socialdemokratiet), Dansk Folkeparti, Socialistisk Folkeparti og Enhedslisten indgik den 10. oktober 2020 ”Aftale om en ny ret til tidlig pension” med henblik på at give dem, der har været mange år på arbejdsmarkedet, mulighed for en værdig tilbagetrækning.</w:t>
      </w:r>
    </w:p>
    <w:p w14:paraId="68A2DCAC" w14:textId="4600C1F6" w:rsidR="00BA7B1C" w:rsidRPr="00815B3E" w:rsidRDefault="00BA7B1C" w:rsidP="00BA7B1C">
      <w:pPr>
        <w:spacing w:after="240"/>
        <w:rPr>
          <w:color w:val="000000" w:themeColor="text1"/>
        </w:rPr>
      </w:pPr>
      <w:r w:rsidRPr="00815B3E">
        <w:rPr>
          <w:color w:val="000000" w:themeColor="text1"/>
        </w:rPr>
        <w:t>Den nye ret til tidlig pension blev udmøntet ved lov nr. 2202 af 29. december 2020. Tidlig Pension har kunnet opnås fra den 1. januar 2022 og indebærer, at danske lønmodtagere med lange og hårde arbejdsliv kan trække sig tilbage på en værdig måde. Tidlig Pension sikrer således, at de, der har været længst på arbejdsmarkedet, nu har mulighed for at stoppe med at arbejde, før de er slidt helt ned.</w:t>
      </w:r>
    </w:p>
    <w:p w14:paraId="05BC67F9" w14:textId="1590177F" w:rsidR="00BA7B1C" w:rsidRPr="00815B3E" w:rsidRDefault="00BA7B1C" w:rsidP="00BA7B1C">
      <w:pPr>
        <w:spacing w:after="240"/>
        <w:rPr>
          <w:color w:val="000000" w:themeColor="text1"/>
        </w:rPr>
      </w:pPr>
      <w:r w:rsidRPr="00815B3E">
        <w:rPr>
          <w:color w:val="000000" w:themeColor="text1"/>
        </w:rPr>
        <w:t xml:space="preserve">Af ”Aftale om en ny ret til tidlig pension” fremgår, at aftalepartierne er enige om, at den nye ret til tidlig pension skal være fuldt finansieret. Som en del af finansieringen er aftalepartierne enige om, at der fra 2023 skal </w:t>
      </w:r>
      <w:r w:rsidR="004E4F5B" w:rsidRPr="00815B3E">
        <w:rPr>
          <w:color w:val="000000" w:themeColor="text1"/>
        </w:rPr>
        <w:t>indføres lagerbeskatning af selskabers ejendomsavancer</w:t>
      </w:r>
      <w:r w:rsidR="005527A9" w:rsidRPr="00815B3E">
        <w:rPr>
          <w:color w:val="000000" w:themeColor="text1"/>
        </w:rPr>
        <w:t xml:space="preserve">, og at </w:t>
      </w:r>
      <w:r w:rsidR="004E4F5B" w:rsidRPr="00815B3E">
        <w:rPr>
          <w:color w:val="000000" w:themeColor="text1"/>
        </w:rPr>
        <w:t>loftet over investorfradraget</w:t>
      </w:r>
      <w:r w:rsidR="005527A9" w:rsidRPr="00815B3E">
        <w:rPr>
          <w:color w:val="000000" w:themeColor="text1"/>
        </w:rPr>
        <w:t xml:space="preserve"> skal fastholdes</w:t>
      </w:r>
      <w:r w:rsidRPr="00815B3E">
        <w:rPr>
          <w:color w:val="000000" w:themeColor="text1"/>
        </w:rPr>
        <w:t xml:space="preserve">. Lovforslaget har til formål at udmønte den del af ”Aftale om en ny ret til tidlig pension”, der vedrører disse </w:t>
      </w:r>
      <w:r w:rsidR="005527A9" w:rsidRPr="00815B3E">
        <w:rPr>
          <w:color w:val="000000" w:themeColor="text1"/>
        </w:rPr>
        <w:t xml:space="preserve">to </w:t>
      </w:r>
      <w:r w:rsidRPr="00815B3E">
        <w:rPr>
          <w:color w:val="000000" w:themeColor="text1"/>
        </w:rPr>
        <w:t>finansieringsbidrag.</w:t>
      </w:r>
    </w:p>
    <w:p w14:paraId="00A8219E" w14:textId="23103A15" w:rsidR="00BA7B1C" w:rsidRPr="00815B3E" w:rsidRDefault="005527A9" w:rsidP="004E4F5B">
      <w:pPr>
        <w:spacing w:after="240"/>
        <w:rPr>
          <w:color w:val="000000" w:themeColor="text1"/>
        </w:rPr>
      </w:pPr>
      <w:r w:rsidRPr="00815B3E">
        <w:rPr>
          <w:color w:val="000000" w:themeColor="text1"/>
        </w:rPr>
        <w:t>Det følger af den indgåede aftale, at</w:t>
      </w:r>
      <w:r w:rsidR="00BA7B1C" w:rsidRPr="00815B3E">
        <w:rPr>
          <w:color w:val="000000" w:themeColor="text1"/>
        </w:rPr>
        <w:t xml:space="preserve"> </w:t>
      </w:r>
      <w:r w:rsidR="004E4F5B" w:rsidRPr="00815B3E">
        <w:rPr>
          <w:color w:val="000000" w:themeColor="text1"/>
        </w:rPr>
        <w:t>lagerbeskatningen</w:t>
      </w:r>
      <w:r w:rsidRPr="00815B3E">
        <w:rPr>
          <w:color w:val="000000" w:themeColor="text1"/>
        </w:rPr>
        <w:t xml:space="preserve"> skal</w:t>
      </w:r>
      <w:r w:rsidR="00BA7B1C" w:rsidRPr="00815B3E">
        <w:rPr>
          <w:color w:val="000000" w:themeColor="text1"/>
        </w:rPr>
        <w:t xml:space="preserve"> indføres </w:t>
      </w:r>
      <w:r w:rsidR="004E4F5B" w:rsidRPr="00815B3E">
        <w:rPr>
          <w:color w:val="000000" w:themeColor="text1"/>
        </w:rPr>
        <w:t>for ejendomsselskaber</w:t>
      </w:r>
      <w:r w:rsidR="00B9385C">
        <w:rPr>
          <w:color w:val="000000" w:themeColor="text1"/>
        </w:rPr>
        <w:t>, der sammen med interesseforbundne parter har en samlet</w:t>
      </w:r>
      <w:r w:rsidR="004E4F5B" w:rsidRPr="00815B3E">
        <w:rPr>
          <w:color w:val="000000" w:themeColor="text1"/>
        </w:rPr>
        <w:t xml:space="preserve"> ejendomsportefølje af udlejningsejendomme til en handelsværdi over 100 mio. kr.</w:t>
      </w:r>
      <w:r w:rsidRPr="00815B3E">
        <w:rPr>
          <w:color w:val="000000" w:themeColor="text1"/>
        </w:rPr>
        <w:t>, og at lagerbeskatningen ikke skal omfatte ejendomme, der anvendes i selskabets eller koncernens egen drift. Det foreslås således, at kun ejendomme, der udlejes i overvejende omfang, vil blive omfattet af lagerbeskatningen.</w:t>
      </w:r>
      <w:r w:rsidR="004E4F5B" w:rsidRPr="00815B3E">
        <w:rPr>
          <w:color w:val="000000" w:themeColor="text1"/>
        </w:rPr>
        <w:t xml:space="preserve"> </w:t>
      </w:r>
    </w:p>
    <w:p w14:paraId="47323980" w14:textId="09391F57" w:rsidR="004E4F5B" w:rsidRPr="00815B3E" w:rsidRDefault="005527A9" w:rsidP="004E4F5B">
      <w:pPr>
        <w:spacing w:after="240"/>
        <w:rPr>
          <w:rFonts w:eastAsia="Calibri" w:cs="Times New Roman"/>
          <w:color w:val="000000" w:themeColor="text1"/>
          <w:szCs w:val="24"/>
        </w:rPr>
      </w:pPr>
      <w:r w:rsidRPr="00815B3E">
        <w:rPr>
          <w:color w:val="000000" w:themeColor="text1"/>
        </w:rPr>
        <w:t>L</w:t>
      </w:r>
      <w:r w:rsidR="004E4F5B" w:rsidRPr="00815B3E">
        <w:rPr>
          <w:rFonts w:eastAsia="Calibri" w:cs="Times New Roman"/>
          <w:color w:val="000000" w:themeColor="text1"/>
          <w:szCs w:val="24"/>
        </w:rPr>
        <w:t>ofte</w:t>
      </w:r>
      <w:r w:rsidRPr="00815B3E">
        <w:rPr>
          <w:rFonts w:eastAsia="Calibri" w:cs="Times New Roman"/>
          <w:color w:val="000000" w:themeColor="text1"/>
          <w:szCs w:val="24"/>
        </w:rPr>
        <w:t>t</w:t>
      </w:r>
      <w:r w:rsidR="004E4F5B" w:rsidRPr="00815B3E">
        <w:rPr>
          <w:rFonts w:eastAsia="Calibri" w:cs="Times New Roman"/>
          <w:color w:val="000000" w:themeColor="text1"/>
          <w:szCs w:val="24"/>
        </w:rPr>
        <w:t xml:space="preserve"> over investorfradraget </w:t>
      </w:r>
      <w:r w:rsidRPr="00815B3E">
        <w:rPr>
          <w:rFonts w:eastAsia="Calibri" w:cs="Times New Roman"/>
          <w:color w:val="000000" w:themeColor="text1"/>
          <w:szCs w:val="24"/>
        </w:rPr>
        <w:t xml:space="preserve">udgør i dag </w:t>
      </w:r>
      <w:r w:rsidR="004E4F5B" w:rsidRPr="00815B3E">
        <w:rPr>
          <w:rFonts w:eastAsia="Calibri" w:cs="Times New Roman"/>
          <w:color w:val="000000" w:themeColor="text1"/>
          <w:szCs w:val="24"/>
        </w:rPr>
        <w:t>400.000 kr. ved direkte investering og 125.000 kr. ved indirekte investering</w:t>
      </w:r>
      <w:r w:rsidRPr="00815B3E">
        <w:rPr>
          <w:rFonts w:eastAsia="Calibri" w:cs="Times New Roman"/>
          <w:color w:val="000000" w:themeColor="text1"/>
          <w:szCs w:val="24"/>
        </w:rPr>
        <w:t>. Det foreslås, at loftet</w:t>
      </w:r>
      <w:r w:rsidR="004E4F5B" w:rsidRPr="00815B3E">
        <w:rPr>
          <w:rFonts w:eastAsia="Calibri" w:cs="Times New Roman"/>
          <w:color w:val="000000" w:themeColor="text1"/>
          <w:szCs w:val="24"/>
        </w:rPr>
        <w:t xml:space="preserve"> fremover fastholdes på de</w:t>
      </w:r>
      <w:r w:rsidR="00420F6E" w:rsidRPr="00815B3E">
        <w:rPr>
          <w:rFonts w:eastAsia="Calibri" w:cs="Times New Roman"/>
          <w:color w:val="000000" w:themeColor="text1"/>
          <w:szCs w:val="24"/>
        </w:rPr>
        <w:t>t</w:t>
      </w:r>
      <w:r w:rsidR="004E4F5B" w:rsidRPr="00815B3E">
        <w:rPr>
          <w:rFonts w:eastAsia="Calibri" w:cs="Times New Roman"/>
          <w:color w:val="000000" w:themeColor="text1"/>
          <w:szCs w:val="24"/>
        </w:rPr>
        <w:t xml:space="preserve"> nuværende niveau, så lofte</w:t>
      </w:r>
      <w:r w:rsidRPr="00815B3E">
        <w:rPr>
          <w:rFonts w:eastAsia="Calibri" w:cs="Times New Roman"/>
          <w:color w:val="000000" w:themeColor="text1"/>
          <w:szCs w:val="24"/>
        </w:rPr>
        <w:t>t</w:t>
      </w:r>
      <w:r w:rsidR="004E4F5B" w:rsidRPr="00815B3E">
        <w:rPr>
          <w:rFonts w:eastAsia="Calibri" w:cs="Times New Roman"/>
          <w:color w:val="000000" w:themeColor="text1"/>
          <w:szCs w:val="24"/>
        </w:rPr>
        <w:t xml:space="preserve"> ikke forhøjes fra og med 2023. </w:t>
      </w:r>
    </w:p>
    <w:p w14:paraId="37655D4F" w14:textId="46B6C804" w:rsidR="009D74A4" w:rsidRPr="00815B3E" w:rsidRDefault="00264BFD" w:rsidP="009D74A4">
      <w:pPr>
        <w:pStyle w:val="Overskrift1"/>
        <w:rPr>
          <w:rFonts w:cs="Times New Roman"/>
          <w:bCs w:val="0"/>
          <w:iCs/>
          <w:color w:val="000000" w:themeColor="text1"/>
          <w:sz w:val="24"/>
          <w:szCs w:val="24"/>
        </w:rPr>
      </w:pPr>
      <w:r>
        <w:rPr>
          <w:rFonts w:cs="Times New Roman"/>
          <w:bCs w:val="0"/>
          <w:iCs/>
          <w:color w:val="000000" w:themeColor="text1"/>
          <w:sz w:val="24"/>
          <w:szCs w:val="24"/>
        </w:rPr>
        <w:t>2</w:t>
      </w:r>
      <w:bookmarkStart w:id="69" w:name="_Toc498557219"/>
      <w:bookmarkStart w:id="70" w:name="_Toc498557283"/>
      <w:bookmarkStart w:id="71" w:name="_Toc498590017"/>
      <w:bookmarkStart w:id="72" w:name="_Toc498681500"/>
      <w:bookmarkStart w:id="73" w:name="_Toc499152772"/>
      <w:bookmarkStart w:id="74" w:name="_Toc499158731"/>
      <w:bookmarkStart w:id="75" w:name="_Toc499648600"/>
      <w:bookmarkStart w:id="76" w:name="_Toc499728093"/>
      <w:bookmarkStart w:id="77" w:name="_Toc499732941"/>
      <w:bookmarkStart w:id="78" w:name="_Toc499736972"/>
      <w:bookmarkStart w:id="79" w:name="_Toc499812912"/>
      <w:bookmarkStart w:id="80" w:name="_Toc499813715"/>
      <w:bookmarkStart w:id="81" w:name="_Toc500921461"/>
      <w:bookmarkStart w:id="82" w:name="_Toc500921487"/>
      <w:bookmarkStart w:id="83" w:name="_Toc500921595"/>
      <w:bookmarkStart w:id="84" w:name="_Toc501019205"/>
      <w:bookmarkStart w:id="85" w:name="_Toc504483850"/>
      <w:bookmarkStart w:id="86" w:name="_Toc505180548"/>
      <w:bookmarkStart w:id="87" w:name="_Toc505690193"/>
      <w:bookmarkStart w:id="88" w:name="_Toc505701746"/>
      <w:bookmarkStart w:id="89" w:name="_Toc505759538"/>
      <w:bookmarkStart w:id="90" w:name="_Toc505759555"/>
      <w:bookmarkStart w:id="91" w:name="_Toc505762648"/>
      <w:bookmarkStart w:id="92" w:name="_Toc505785988"/>
      <w:bookmarkStart w:id="93" w:name="_Toc506799573"/>
      <w:bookmarkStart w:id="94" w:name="_Toc506799590"/>
      <w:bookmarkStart w:id="95" w:name="_Toc506894549"/>
      <w:bookmarkStart w:id="96" w:name="_Toc507486286"/>
      <w:bookmarkStart w:id="97" w:name="_Toc515271225"/>
      <w:bookmarkStart w:id="98" w:name="_Toc515271548"/>
      <w:bookmarkStart w:id="99" w:name="_Toc515271576"/>
      <w:bookmarkStart w:id="100" w:name="_Toc515280472"/>
      <w:bookmarkStart w:id="101" w:name="_Toc515280623"/>
      <w:bookmarkStart w:id="102" w:name="_Toc515352775"/>
      <w:bookmarkStart w:id="103" w:name="_Toc515540848"/>
      <w:bookmarkStart w:id="104" w:name="_Toc515543684"/>
      <w:bookmarkStart w:id="105" w:name="_Toc515543869"/>
      <w:bookmarkStart w:id="106" w:name="_Toc515551670"/>
      <w:bookmarkStart w:id="107" w:name="_Toc515627612"/>
      <w:bookmarkStart w:id="108" w:name="_Toc516039922"/>
      <w:bookmarkStart w:id="109" w:name="_Toc516155345"/>
      <w:bookmarkStart w:id="110" w:name="_Toc516490246"/>
      <w:bookmarkStart w:id="111" w:name="_Toc518037928"/>
      <w:bookmarkStart w:id="112" w:name="_Toc524599576"/>
      <w:bookmarkStart w:id="113" w:name="_Toc526154929"/>
      <w:bookmarkStart w:id="114" w:name="_Toc526155475"/>
      <w:bookmarkStart w:id="115" w:name="_Toc526155548"/>
      <w:bookmarkStart w:id="116" w:name="_Toc526253985"/>
      <w:bookmarkStart w:id="117" w:name="_Toc526348409"/>
      <w:bookmarkStart w:id="118" w:name="_Toc526374600"/>
      <w:bookmarkStart w:id="119" w:name="_Toc526374616"/>
      <w:bookmarkStart w:id="120" w:name="_Toc526406479"/>
      <w:bookmarkStart w:id="121" w:name="_Toc526409499"/>
      <w:bookmarkStart w:id="122" w:name="_Toc526491398"/>
      <w:bookmarkStart w:id="123" w:name="_Toc526505510"/>
      <w:bookmarkStart w:id="124" w:name="_Toc526756602"/>
      <w:r w:rsidR="009D74A4" w:rsidRPr="00815B3E">
        <w:rPr>
          <w:rFonts w:cs="Times New Roman"/>
          <w:bCs w:val="0"/>
          <w:iCs/>
          <w:color w:val="000000" w:themeColor="text1"/>
          <w:sz w:val="24"/>
          <w:szCs w:val="24"/>
        </w:rPr>
        <w:t>. Lovforslagets hovedpunkter</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46B9720C" w14:textId="32EB98A8" w:rsidR="009D74A4" w:rsidRPr="00815B3E" w:rsidRDefault="00264BFD" w:rsidP="009D74A4">
      <w:pPr>
        <w:pStyle w:val="Overskrift2"/>
        <w:rPr>
          <w:rFonts w:cs="Times New Roman"/>
          <w:color w:val="000000" w:themeColor="text1"/>
          <w:sz w:val="24"/>
          <w:szCs w:val="24"/>
        </w:rPr>
      </w:pPr>
      <w:bookmarkStart w:id="125" w:name="_Toc526348410"/>
      <w:bookmarkStart w:id="126" w:name="_Toc526374601"/>
      <w:bookmarkStart w:id="127" w:name="_Toc526374617"/>
      <w:bookmarkStart w:id="128" w:name="_Toc526406480"/>
      <w:bookmarkStart w:id="129" w:name="_Toc526409500"/>
      <w:bookmarkStart w:id="130" w:name="_Toc526491399"/>
      <w:bookmarkStart w:id="131" w:name="_Toc526505511"/>
      <w:bookmarkStart w:id="132" w:name="_Toc526756603"/>
      <w:r>
        <w:rPr>
          <w:rFonts w:cs="Times New Roman"/>
          <w:color w:val="000000" w:themeColor="text1"/>
          <w:sz w:val="24"/>
          <w:szCs w:val="24"/>
        </w:rPr>
        <w:t>2</w:t>
      </w:r>
      <w:r w:rsidR="009D74A4" w:rsidRPr="00815B3E">
        <w:rPr>
          <w:rFonts w:cs="Times New Roman"/>
          <w:color w:val="000000" w:themeColor="text1"/>
          <w:sz w:val="24"/>
          <w:szCs w:val="24"/>
        </w:rPr>
        <w:t xml:space="preserve">.1. </w:t>
      </w:r>
      <w:bookmarkEnd w:id="125"/>
      <w:bookmarkEnd w:id="126"/>
      <w:bookmarkEnd w:id="127"/>
      <w:bookmarkEnd w:id="128"/>
      <w:bookmarkEnd w:id="129"/>
      <w:bookmarkEnd w:id="130"/>
      <w:bookmarkEnd w:id="131"/>
      <w:bookmarkEnd w:id="132"/>
      <w:r w:rsidR="009D74A4" w:rsidRPr="00815B3E">
        <w:rPr>
          <w:rFonts w:cs="Times New Roman"/>
          <w:color w:val="000000" w:themeColor="text1"/>
          <w:sz w:val="24"/>
          <w:szCs w:val="24"/>
        </w:rPr>
        <w:t>Lagerbeskatning af selskaber ejendomsavancer</w:t>
      </w:r>
    </w:p>
    <w:p w14:paraId="535901BD" w14:textId="4D30C036" w:rsidR="009D74A4" w:rsidRPr="00815B3E" w:rsidRDefault="00264BFD" w:rsidP="009D74A4">
      <w:pPr>
        <w:pStyle w:val="Undertitel"/>
        <w:spacing w:after="0"/>
        <w:rPr>
          <w:rFonts w:eastAsia="Calibri"/>
          <w:color w:val="000000" w:themeColor="text1"/>
        </w:rPr>
      </w:pPr>
      <w:bookmarkStart w:id="133" w:name="_Toc526409501"/>
      <w:bookmarkStart w:id="134" w:name="_Toc526491400"/>
      <w:bookmarkStart w:id="135" w:name="_Toc526505512"/>
      <w:bookmarkStart w:id="136" w:name="_Toc526756604"/>
      <w:r>
        <w:rPr>
          <w:color w:val="000000" w:themeColor="text1"/>
        </w:rPr>
        <w:t>2</w:t>
      </w:r>
      <w:r w:rsidR="009D74A4" w:rsidRPr="00815B3E">
        <w:rPr>
          <w:color w:val="000000" w:themeColor="text1"/>
        </w:rPr>
        <w:t>.1.1. Gældende ret</w:t>
      </w:r>
      <w:bookmarkEnd w:id="133"/>
      <w:bookmarkEnd w:id="134"/>
      <w:bookmarkEnd w:id="135"/>
      <w:bookmarkEnd w:id="136"/>
    </w:p>
    <w:p w14:paraId="2EF88050" w14:textId="0563E618" w:rsidR="00C27179" w:rsidRPr="00815B3E" w:rsidRDefault="00254C31" w:rsidP="009D74A4">
      <w:pPr>
        <w:spacing w:after="240"/>
        <w:rPr>
          <w:rFonts w:cs="Times New Roman"/>
          <w:color w:val="000000" w:themeColor="text1"/>
          <w:szCs w:val="24"/>
        </w:rPr>
      </w:pPr>
      <w:r>
        <w:rPr>
          <w:rFonts w:eastAsia="Calibri" w:cs="Times New Roman"/>
          <w:color w:val="000000" w:themeColor="text1"/>
          <w:szCs w:val="24"/>
        </w:rPr>
        <w:lastRenderedPageBreak/>
        <w:t>Lov om beskatning af fortjeneste ved afståelse af fast ejendom (herefter e</w:t>
      </w:r>
      <w:r w:rsidR="009D74A4" w:rsidRPr="00815B3E">
        <w:rPr>
          <w:rFonts w:eastAsia="Calibri" w:cs="Times New Roman"/>
          <w:color w:val="000000" w:themeColor="text1"/>
          <w:szCs w:val="24"/>
        </w:rPr>
        <w:t>jendomsavancebeskatningsloven</w:t>
      </w:r>
      <w:r>
        <w:rPr>
          <w:rFonts w:eastAsia="Calibri" w:cs="Times New Roman"/>
          <w:color w:val="000000" w:themeColor="text1"/>
          <w:szCs w:val="24"/>
        </w:rPr>
        <w:t>)</w:t>
      </w:r>
      <w:r w:rsidR="009D74A4" w:rsidRPr="00815B3E">
        <w:rPr>
          <w:rFonts w:eastAsia="Calibri" w:cs="Times New Roman"/>
          <w:color w:val="000000" w:themeColor="text1"/>
          <w:szCs w:val="24"/>
        </w:rPr>
        <w:t xml:space="preserve"> finder anvendelse på fortjeneste ved afståelse af fast ejendom. </w:t>
      </w:r>
      <w:r w:rsidR="009D74A4" w:rsidRPr="00815B3E">
        <w:rPr>
          <w:rFonts w:cs="Times New Roman"/>
          <w:color w:val="000000" w:themeColor="text1"/>
          <w:szCs w:val="24"/>
        </w:rPr>
        <w:t xml:space="preserve">Loven omfatter fysiske </w:t>
      </w:r>
      <w:r w:rsidR="00C27179" w:rsidRPr="00815B3E">
        <w:rPr>
          <w:rFonts w:cs="Times New Roman"/>
          <w:color w:val="000000" w:themeColor="text1"/>
          <w:szCs w:val="24"/>
        </w:rPr>
        <w:t xml:space="preserve">personer </w:t>
      </w:r>
      <w:r w:rsidR="00226C3C" w:rsidRPr="00815B3E">
        <w:rPr>
          <w:rFonts w:cs="Times New Roman"/>
          <w:color w:val="000000" w:themeColor="text1"/>
          <w:szCs w:val="24"/>
        </w:rPr>
        <w:t>og</w:t>
      </w:r>
      <w:r w:rsidR="009D74A4" w:rsidRPr="00815B3E">
        <w:rPr>
          <w:rFonts w:cs="Times New Roman"/>
          <w:color w:val="000000" w:themeColor="text1"/>
          <w:szCs w:val="24"/>
        </w:rPr>
        <w:t xml:space="preserve"> juridiske personer</w:t>
      </w:r>
      <w:r w:rsidR="00226C3C" w:rsidRPr="00815B3E">
        <w:rPr>
          <w:rFonts w:cs="Times New Roman"/>
          <w:color w:val="000000" w:themeColor="text1"/>
          <w:szCs w:val="24"/>
        </w:rPr>
        <w:t xml:space="preserve"> (selskaber m.v.)</w:t>
      </w:r>
      <w:r w:rsidR="009D74A4" w:rsidRPr="00815B3E">
        <w:rPr>
          <w:rFonts w:cs="Times New Roman"/>
          <w:color w:val="000000" w:themeColor="text1"/>
          <w:szCs w:val="24"/>
        </w:rPr>
        <w:t xml:space="preserve">, der er fuldt skattepligtige her til landet, </w:t>
      </w:r>
      <w:r w:rsidR="00226C3C" w:rsidRPr="00815B3E">
        <w:rPr>
          <w:rFonts w:cs="Times New Roman"/>
          <w:color w:val="000000" w:themeColor="text1"/>
          <w:szCs w:val="24"/>
        </w:rPr>
        <w:t xml:space="preserve">og </w:t>
      </w:r>
      <w:r w:rsidR="009D74A4" w:rsidRPr="00815B3E">
        <w:rPr>
          <w:rFonts w:cs="Times New Roman"/>
          <w:color w:val="000000" w:themeColor="text1"/>
          <w:szCs w:val="24"/>
        </w:rPr>
        <w:t>som ejer fast ejendom</w:t>
      </w:r>
      <w:r w:rsidR="00226C3C" w:rsidRPr="00815B3E">
        <w:rPr>
          <w:rFonts w:cs="Times New Roman"/>
          <w:color w:val="000000" w:themeColor="text1"/>
          <w:szCs w:val="24"/>
        </w:rPr>
        <w:t xml:space="preserve"> beliggende i Danmark </w:t>
      </w:r>
      <w:r w:rsidR="009D74A4" w:rsidRPr="00815B3E">
        <w:rPr>
          <w:rFonts w:cs="Times New Roman"/>
          <w:color w:val="000000" w:themeColor="text1"/>
          <w:szCs w:val="24"/>
        </w:rPr>
        <w:t>eller i udlandet</w:t>
      </w:r>
      <w:r w:rsidR="00226C3C" w:rsidRPr="00815B3E">
        <w:rPr>
          <w:rFonts w:cs="Times New Roman"/>
          <w:color w:val="000000" w:themeColor="text1"/>
          <w:szCs w:val="24"/>
        </w:rPr>
        <w:t xml:space="preserve">. </w:t>
      </w:r>
    </w:p>
    <w:p w14:paraId="32A342CC" w14:textId="493134CA" w:rsidR="009E63F7" w:rsidRDefault="00226C3C" w:rsidP="009D74A4">
      <w:pPr>
        <w:spacing w:after="240"/>
        <w:rPr>
          <w:rFonts w:cs="Times New Roman"/>
          <w:color w:val="000000" w:themeColor="text1"/>
          <w:szCs w:val="24"/>
        </w:rPr>
      </w:pPr>
      <w:r w:rsidRPr="00815B3E">
        <w:rPr>
          <w:rFonts w:cs="Times New Roman"/>
          <w:color w:val="000000" w:themeColor="text1"/>
          <w:szCs w:val="24"/>
        </w:rPr>
        <w:t xml:space="preserve">Loven omfatter også </w:t>
      </w:r>
      <w:r w:rsidR="009D74A4" w:rsidRPr="00815B3E">
        <w:rPr>
          <w:rFonts w:cs="Times New Roman"/>
          <w:color w:val="000000" w:themeColor="text1"/>
          <w:szCs w:val="24"/>
        </w:rPr>
        <w:t xml:space="preserve">fysiske </w:t>
      </w:r>
      <w:r w:rsidRPr="00815B3E">
        <w:rPr>
          <w:rFonts w:cs="Times New Roman"/>
          <w:color w:val="000000" w:themeColor="text1"/>
          <w:szCs w:val="24"/>
        </w:rPr>
        <w:t>og</w:t>
      </w:r>
      <w:r w:rsidR="009D74A4" w:rsidRPr="00815B3E">
        <w:rPr>
          <w:rFonts w:cs="Times New Roman"/>
          <w:color w:val="000000" w:themeColor="text1"/>
          <w:szCs w:val="24"/>
        </w:rPr>
        <w:t xml:space="preserve"> juridiske personer, der er begrænset skattepligtige her til landet, og som ejer fast ejendom</w:t>
      </w:r>
      <w:r w:rsidRPr="00815B3E">
        <w:rPr>
          <w:rFonts w:cs="Times New Roman"/>
          <w:color w:val="000000" w:themeColor="text1"/>
          <w:szCs w:val="24"/>
        </w:rPr>
        <w:t xml:space="preserve"> beliggende i Danmark, herunder ejendomme, der ejes via et fast driftssted i Danmark. U</w:t>
      </w:r>
      <w:r w:rsidR="009D74A4" w:rsidRPr="00815B3E">
        <w:rPr>
          <w:rFonts w:cs="Times New Roman"/>
          <w:color w:val="000000" w:themeColor="text1"/>
          <w:szCs w:val="24"/>
        </w:rPr>
        <w:t>denlandske</w:t>
      </w:r>
      <w:r w:rsidRPr="00815B3E">
        <w:rPr>
          <w:rFonts w:cs="Times New Roman"/>
          <w:color w:val="000000" w:themeColor="text1"/>
          <w:szCs w:val="24"/>
        </w:rPr>
        <w:t xml:space="preserve"> skattepligtige</w:t>
      </w:r>
      <w:r w:rsidR="009D74A4" w:rsidRPr="00815B3E">
        <w:rPr>
          <w:rFonts w:cs="Times New Roman"/>
          <w:color w:val="000000" w:themeColor="text1"/>
          <w:szCs w:val="24"/>
        </w:rPr>
        <w:t xml:space="preserve"> fysiske og juridiske personer er </w:t>
      </w:r>
      <w:r w:rsidRPr="00815B3E">
        <w:rPr>
          <w:rFonts w:cs="Times New Roman"/>
          <w:color w:val="000000" w:themeColor="text1"/>
          <w:szCs w:val="24"/>
        </w:rPr>
        <w:t xml:space="preserve">således </w:t>
      </w:r>
      <w:r w:rsidR="009E63F7">
        <w:rPr>
          <w:rFonts w:cs="Times New Roman"/>
          <w:color w:val="000000" w:themeColor="text1"/>
          <w:szCs w:val="24"/>
        </w:rPr>
        <w:t xml:space="preserve">også </w:t>
      </w:r>
      <w:r w:rsidR="009D74A4" w:rsidRPr="00815B3E">
        <w:rPr>
          <w:rFonts w:cs="Times New Roman"/>
          <w:color w:val="000000" w:themeColor="text1"/>
          <w:szCs w:val="24"/>
        </w:rPr>
        <w:t>skattepligtige af fortjeneste ved afståelse af fast ejendom.</w:t>
      </w:r>
      <w:r w:rsidR="009E63F7">
        <w:rPr>
          <w:rFonts w:cs="Times New Roman"/>
          <w:color w:val="000000" w:themeColor="text1"/>
          <w:szCs w:val="24"/>
        </w:rPr>
        <w:t xml:space="preserve"> </w:t>
      </w:r>
    </w:p>
    <w:p w14:paraId="6A2CAF31" w14:textId="79AF98BC" w:rsidR="009D74A4" w:rsidRPr="00815B3E" w:rsidRDefault="009D74A4" w:rsidP="009D74A4">
      <w:pPr>
        <w:spacing w:after="240"/>
        <w:rPr>
          <w:rFonts w:cs="Times New Roman"/>
          <w:color w:val="000000" w:themeColor="text1"/>
          <w:szCs w:val="24"/>
        </w:rPr>
      </w:pPr>
      <w:r w:rsidRPr="00815B3E">
        <w:rPr>
          <w:rFonts w:eastAsia="Calibri" w:cs="Times New Roman"/>
          <w:color w:val="000000" w:themeColor="text1"/>
          <w:szCs w:val="24"/>
        </w:rPr>
        <w:t>Ejendomsavancebeskatningsloven gælder alle former for afståelse af fast ejendom, herunder afståelse ved arv</w:t>
      </w:r>
      <w:r w:rsidR="00214C43" w:rsidRPr="00815B3E">
        <w:rPr>
          <w:rFonts w:eastAsia="Calibri" w:cs="Times New Roman"/>
          <w:color w:val="000000" w:themeColor="text1"/>
          <w:szCs w:val="24"/>
        </w:rPr>
        <w:t xml:space="preserve"> og</w:t>
      </w:r>
      <w:r w:rsidRPr="00815B3E">
        <w:rPr>
          <w:rFonts w:eastAsia="Calibri" w:cs="Times New Roman"/>
          <w:color w:val="000000" w:themeColor="text1"/>
          <w:szCs w:val="24"/>
        </w:rPr>
        <w:t xml:space="preserve"> gave, </w:t>
      </w:r>
      <w:r w:rsidR="00214C43" w:rsidRPr="00815B3E">
        <w:rPr>
          <w:rFonts w:eastAsia="Calibri" w:cs="Times New Roman"/>
          <w:color w:val="000000" w:themeColor="text1"/>
          <w:szCs w:val="24"/>
        </w:rPr>
        <w:t xml:space="preserve">ligesom </w:t>
      </w:r>
      <w:r w:rsidRPr="00815B3E">
        <w:rPr>
          <w:rFonts w:eastAsia="Calibri" w:cs="Times New Roman"/>
          <w:color w:val="000000" w:themeColor="text1"/>
          <w:szCs w:val="24"/>
        </w:rPr>
        <w:t xml:space="preserve">erstatninger </w:t>
      </w:r>
      <w:r w:rsidR="00214C43" w:rsidRPr="00815B3E">
        <w:rPr>
          <w:rFonts w:eastAsia="Calibri" w:cs="Times New Roman"/>
          <w:color w:val="000000" w:themeColor="text1"/>
          <w:szCs w:val="24"/>
        </w:rPr>
        <w:t xml:space="preserve">for skade </w:t>
      </w:r>
      <w:r w:rsidR="00C27179" w:rsidRPr="00815B3E">
        <w:rPr>
          <w:rFonts w:eastAsia="Calibri" w:cs="Times New Roman"/>
          <w:color w:val="000000" w:themeColor="text1"/>
          <w:szCs w:val="24"/>
        </w:rPr>
        <w:t>på</w:t>
      </w:r>
      <w:r w:rsidR="00214C43" w:rsidRPr="00815B3E">
        <w:rPr>
          <w:rFonts w:eastAsia="Calibri" w:cs="Times New Roman"/>
          <w:color w:val="000000" w:themeColor="text1"/>
          <w:szCs w:val="24"/>
        </w:rPr>
        <w:t xml:space="preserve"> en fast ejendom sidestilles med en afståelsessum</w:t>
      </w:r>
      <w:r w:rsidRPr="00815B3E">
        <w:rPr>
          <w:rFonts w:eastAsia="Calibri" w:cs="Times New Roman"/>
          <w:color w:val="000000" w:themeColor="text1"/>
          <w:szCs w:val="24"/>
        </w:rPr>
        <w:t>. Loven gælder også ved afståelse af en del af en fast ejendom og i forbindelse med pålæg af rådighedsindskrænkninger over fast ejendom i form af servitutter mv.</w:t>
      </w:r>
    </w:p>
    <w:p w14:paraId="64CA0947" w14:textId="647EE907" w:rsidR="00D43D51" w:rsidRPr="00815B3E" w:rsidRDefault="00270DE5" w:rsidP="009D74A4">
      <w:pPr>
        <w:rPr>
          <w:rFonts w:cs="Times New Roman"/>
          <w:color w:val="000000" w:themeColor="text1"/>
        </w:rPr>
      </w:pPr>
      <w:r>
        <w:rPr>
          <w:color w:val="000000" w:themeColor="text1"/>
        </w:rPr>
        <w:t>E</w:t>
      </w:r>
      <w:r w:rsidR="00D43D51" w:rsidRPr="00815B3E">
        <w:rPr>
          <w:color w:val="000000" w:themeColor="text1"/>
        </w:rPr>
        <w:t xml:space="preserve">jendomsavancebeskatningsloven omfatter ikke ejendomme, som er anskaffet som et led i den skattepligtiges næringsvirksomhed. Fortjeneste og tab på næringsejendomme beskattes i stedet efter reglerne i statsskatteloven. </w:t>
      </w:r>
    </w:p>
    <w:p w14:paraId="2D3A660E" w14:textId="77777777" w:rsidR="009D74A4" w:rsidRPr="00815B3E" w:rsidRDefault="009D74A4" w:rsidP="009D74A4">
      <w:pPr>
        <w:rPr>
          <w:rFonts w:cs="Times New Roman"/>
          <w:color w:val="000000" w:themeColor="text1"/>
          <w:szCs w:val="24"/>
        </w:rPr>
      </w:pPr>
    </w:p>
    <w:p w14:paraId="188D4C03" w14:textId="585E553C" w:rsidR="00C17EB7" w:rsidRPr="00815B3E" w:rsidRDefault="009D74A4" w:rsidP="009D74A4">
      <w:pPr>
        <w:rPr>
          <w:rFonts w:cs="Times New Roman"/>
          <w:color w:val="000000" w:themeColor="text1"/>
          <w:szCs w:val="24"/>
        </w:rPr>
      </w:pPr>
      <w:r w:rsidRPr="00815B3E">
        <w:rPr>
          <w:color w:val="000000" w:themeColor="text1"/>
        </w:rPr>
        <w:t>Ejendomsavancebeskatningsloven</w:t>
      </w:r>
      <w:r w:rsidRPr="00815B3E">
        <w:rPr>
          <w:rFonts w:cs="Times New Roman"/>
          <w:color w:val="000000" w:themeColor="text1"/>
          <w:szCs w:val="24"/>
        </w:rPr>
        <w:t xml:space="preserve"> følger i dag et realisations</w:t>
      </w:r>
      <w:r w:rsidR="001D36ED" w:rsidRPr="00815B3E">
        <w:rPr>
          <w:rFonts w:cs="Times New Roman"/>
          <w:color w:val="000000" w:themeColor="text1"/>
          <w:szCs w:val="24"/>
        </w:rPr>
        <w:t>beskatnings</w:t>
      </w:r>
      <w:r w:rsidRPr="00815B3E">
        <w:rPr>
          <w:rFonts w:cs="Times New Roman"/>
          <w:color w:val="000000" w:themeColor="text1"/>
          <w:szCs w:val="24"/>
        </w:rPr>
        <w:t>princip</w:t>
      </w:r>
      <w:r w:rsidR="00031173" w:rsidRPr="00815B3E">
        <w:rPr>
          <w:rFonts w:cs="Times New Roman"/>
          <w:color w:val="000000" w:themeColor="text1"/>
          <w:szCs w:val="24"/>
        </w:rPr>
        <w:t>. Det</w:t>
      </w:r>
      <w:r w:rsidRPr="00815B3E">
        <w:rPr>
          <w:rFonts w:cs="Times New Roman"/>
          <w:color w:val="000000" w:themeColor="text1"/>
          <w:szCs w:val="24"/>
        </w:rPr>
        <w:t xml:space="preserve"> betyder, at beskatningen</w:t>
      </w:r>
      <w:r w:rsidR="00031173" w:rsidRPr="00815B3E">
        <w:rPr>
          <w:rFonts w:cs="Times New Roman"/>
          <w:color w:val="000000" w:themeColor="text1"/>
          <w:szCs w:val="24"/>
        </w:rPr>
        <w:t xml:space="preserve"> af en ejendomsavance</w:t>
      </w:r>
      <w:r w:rsidRPr="00815B3E">
        <w:rPr>
          <w:rFonts w:cs="Times New Roman"/>
          <w:color w:val="000000" w:themeColor="text1"/>
          <w:szCs w:val="24"/>
        </w:rPr>
        <w:t xml:space="preserve"> først sker</w:t>
      </w:r>
      <w:r w:rsidR="00031173" w:rsidRPr="00815B3E">
        <w:rPr>
          <w:rFonts w:cs="Times New Roman"/>
          <w:color w:val="000000" w:themeColor="text1"/>
          <w:szCs w:val="24"/>
        </w:rPr>
        <w:t>,</w:t>
      </w:r>
      <w:r w:rsidRPr="00815B3E">
        <w:rPr>
          <w:rFonts w:cs="Times New Roman"/>
          <w:color w:val="000000" w:themeColor="text1"/>
          <w:szCs w:val="24"/>
        </w:rPr>
        <w:t xml:space="preserve"> når ejeren afstår sin faste ejendom. </w:t>
      </w:r>
      <w:r w:rsidR="00031173" w:rsidRPr="00815B3E">
        <w:rPr>
          <w:rFonts w:cs="Times New Roman"/>
          <w:color w:val="000000" w:themeColor="text1"/>
          <w:szCs w:val="24"/>
        </w:rPr>
        <w:t xml:space="preserve">Hvis det ikke er selve ejendommen, der </w:t>
      </w:r>
      <w:r w:rsidR="00C17EB7" w:rsidRPr="00815B3E">
        <w:rPr>
          <w:rFonts w:cs="Times New Roman"/>
          <w:color w:val="000000" w:themeColor="text1"/>
          <w:szCs w:val="24"/>
        </w:rPr>
        <w:t>afstås</w:t>
      </w:r>
      <w:r w:rsidR="00031173" w:rsidRPr="00815B3E">
        <w:rPr>
          <w:rFonts w:cs="Times New Roman"/>
          <w:color w:val="000000" w:themeColor="text1"/>
          <w:szCs w:val="24"/>
        </w:rPr>
        <w:t xml:space="preserve">, udløses ingen </w:t>
      </w:r>
      <w:r w:rsidR="00C17EB7" w:rsidRPr="00815B3E">
        <w:rPr>
          <w:rFonts w:cs="Times New Roman"/>
          <w:color w:val="000000" w:themeColor="text1"/>
          <w:szCs w:val="24"/>
        </w:rPr>
        <w:t>ejendomsavancebeskatning.</w:t>
      </w:r>
      <w:r w:rsidR="00D43D51" w:rsidRPr="00815B3E">
        <w:rPr>
          <w:rFonts w:cs="Times New Roman"/>
          <w:color w:val="000000" w:themeColor="text1"/>
          <w:szCs w:val="24"/>
        </w:rPr>
        <w:t xml:space="preserve"> Realisationsprincippet gælder også ved beskatning af næringsejendomme efter statsskattelovens regler.</w:t>
      </w:r>
      <w:r w:rsidR="00C17EB7" w:rsidRPr="00815B3E">
        <w:rPr>
          <w:rFonts w:cs="Times New Roman"/>
          <w:color w:val="000000" w:themeColor="text1"/>
          <w:szCs w:val="24"/>
        </w:rPr>
        <w:t xml:space="preserve"> </w:t>
      </w:r>
    </w:p>
    <w:p w14:paraId="4211BEE3" w14:textId="3DD4F0D1" w:rsidR="00C17EB7" w:rsidRPr="00815B3E" w:rsidRDefault="00C17EB7" w:rsidP="009D74A4">
      <w:pPr>
        <w:rPr>
          <w:rFonts w:cs="Times New Roman"/>
          <w:color w:val="000000" w:themeColor="text1"/>
          <w:szCs w:val="24"/>
        </w:rPr>
      </w:pPr>
    </w:p>
    <w:p w14:paraId="2D276069" w14:textId="7BDE9A70" w:rsidR="00C17EB7" w:rsidRPr="00815B3E" w:rsidRDefault="00C17EB7" w:rsidP="009D74A4">
      <w:pPr>
        <w:rPr>
          <w:rFonts w:cs="Times New Roman"/>
          <w:color w:val="000000" w:themeColor="text1"/>
          <w:szCs w:val="24"/>
        </w:rPr>
      </w:pPr>
      <w:r w:rsidRPr="00815B3E">
        <w:rPr>
          <w:rFonts w:cs="Times New Roman"/>
          <w:color w:val="000000" w:themeColor="text1"/>
          <w:szCs w:val="24"/>
        </w:rPr>
        <w:t>Hvis et selskab (moderselskabet) ejer et datterselskab, der har erhvervet en ejendom, og ejendommen forbliver ejet af datterselskabet, vil der således ikke indtræde ejendomsavancebeskatning, selv om moderselskabet afstår alle sine aktier i datterselskabet. Idet ejendommen fortsat ejes af datterselskabet, er der ikke sket afståelse af selve ejendommen, og dermed udløses ingen ejendomsavancebeskatning.</w:t>
      </w:r>
    </w:p>
    <w:p w14:paraId="25D7A995" w14:textId="5D918C5F" w:rsidR="00C17EB7" w:rsidRPr="00815B3E" w:rsidRDefault="00C17EB7" w:rsidP="009D74A4">
      <w:pPr>
        <w:rPr>
          <w:rFonts w:cs="Times New Roman"/>
          <w:color w:val="000000" w:themeColor="text1"/>
          <w:szCs w:val="24"/>
        </w:rPr>
      </w:pPr>
    </w:p>
    <w:p w14:paraId="55907B31" w14:textId="11833DE7" w:rsidR="00FB20CF" w:rsidRPr="00815B3E" w:rsidRDefault="00C17EB7" w:rsidP="009D74A4">
      <w:pPr>
        <w:rPr>
          <w:rFonts w:cs="Times New Roman"/>
          <w:color w:val="000000" w:themeColor="text1"/>
          <w:szCs w:val="24"/>
        </w:rPr>
      </w:pPr>
      <w:r w:rsidRPr="00815B3E">
        <w:rPr>
          <w:rFonts w:cs="Times New Roman"/>
          <w:color w:val="000000" w:themeColor="text1"/>
          <w:szCs w:val="24"/>
        </w:rPr>
        <w:t xml:space="preserve">Moderselskabets afståelse af aktierne i datterselskabet behandles efter reglerne i aktieavancebeskatningsloven. Som alt overvejende hovedregel vil en sådan afståelse af aktier i et datterselskab være skattefri efter reglerne i aktieavancebeskatningsloven. </w:t>
      </w:r>
      <w:r w:rsidR="00577FC2" w:rsidRPr="00815B3E">
        <w:rPr>
          <w:rFonts w:cs="Times New Roman"/>
          <w:color w:val="000000" w:themeColor="text1"/>
          <w:szCs w:val="24"/>
        </w:rPr>
        <w:t xml:space="preserve">Skattefriheden ved salg af datterselskabsaktier skal ses på baggrund af </w:t>
      </w:r>
      <w:r w:rsidR="00FB20CF" w:rsidRPr="00815B3E">
        <w:rPr>
          <w:rFonts w:cs="Times New Roman"/>
          <w:color w:val="000000" w:themeColor="text1"/>
          <w:szCs w:val="24"/>
        </w:rPr>
        <w:t xml:space="preserve">et ønske om - uanset hvordan en koncern er struktureret - at undgå dobbeltbeskatning af selskabsindkomst i flere led. Udbytte </w:t>
      </w:r>
      <w:r w:rsidR="00FB20CF" w:rsidRPr="00815B3E">
        <w:rPr>
          <w:rFonts w:cs="Times New Roman"/>
          <w:color w:val="000000" w:themeColor="text1"/>
          <w:szCs w:val="24"/>
        </w:rPr>
        <w:lastRenderedPageBreak/>
        <w:t xml:space="preserve">af datterselskabs- og koncernselskabsaktier er </w:t>
      </w:r>
      <w:r w:rsidR="00577FC2" w:rsidRPr="00815B3E">
        <w:rPr>
          <w:rFonts w:cs="Times New Roman"/>
          <w:color w:val="000000" w:themeColor="text1"/>
          <w:szCs w:val="24"/>
        </w:rPr>
        <w:t xml:space="preserve">ud fra samme betragtning </w:t>
      </w:r>
      <w:r w:rsidR="00FB20CF" w:rsidRPr="00815B3E">
        <w:rPr>
          <w:rFonts w:cs="Times New Roman"/>
          <w:color w:val="000000" w:themeColor="text1"/>
          <w:szCs w:val="24"/>
        </w:rPr>
        <w:t>også skattefri.</w:t>
      </w:r>
    </w:p>
    <w:p w14:paraId="659E3AF8" w14:textId="77777777" w:rsidR="00FB20CF" w:rsidRPr="00815B3E" w:rsidRDefault="00FB20CF" w:rsidP="009D74A4">
      <w:pPr>
        <w:rPr>
          <w:rFonts w:cs="Times New Roman"/>
          <w:color w:val="000000" w:themeColor="text1"/>
          <w:szCs w:val="24"/>
        </w:rPr>
      </w:pPr>
    </w:p>
    <w:p w14:paraId="33C31126" w14:textId="2AE45D8F" w:rsidR="00C17EB7" w:rsidRPr="00815B3E" w:rsidRDefault="00C17EB7" w:rsidP="009D74A4">
      <w:pPr>
        <w:rPr>
          <w:rFonts w:cs="Times New Roman"/>
          <w:color w:val="000000" w:themeColor="text1"/>
          <w:szCs w:val="24"/>
        </w:rPr>
      </w:pPr>
      <w:r w:rsidRPr="00815B3E">
        <w:rPr>
          <w:rFonts w:cs="Times New Roman"/>
          <w:color w:val="000000" w:themeColor="text1"/>
          <w:szCs w:val="24"/>
        </w:rPr>
        <w:t>Efter gældende regler er det således muligt for et moderselskab at foretage en indirekte afståelse af en ejendom, der ejes af et datterselskab,</w:t>
      </w:r>
      <w:r w:rsidR="00FB20CF" w:rsidRPr="00815B3E">
        <w:rPr>
          <w:rFonts w:cs="Times New Roman"/>
          <w:color w:val="000000" w:themeColor="text1"/>
          <w:szCs w:val="24"/>
        </w:rPr>
        <w:t xml:space="preserve"> ved at moderselskabet </w:t>
      </w:r>
      <w:r w:rsidRPr="00815B3E">
        <w:rPr>
          <w:rFonts w:cs="Times New Roman"/>
          <w:color w:val="000000" w:themeColor="text1"/>
          <w:szCs w:val="24"/>
        </w:rPr>
        <w:t>sælge</w:t>
      </w:r>
      <w:r w:rsidR="00FB20CF" w:rsidRPr="00815B3E">
        <w:rPr>
          <w:rFonts w:cs="Times New Roman"/>
          <w:color w:val="000000" w:themeColor="text1"/>
          <w:szCs w:val="24"/>
        </w:rPr>
        <w:t>r</w:t>
      </w:r>
      <w:r w:rsidRPr="00815B3E">
        <w:rPr>
          <w:rFonts w:cs="Times New Roman"/>
          <w:color w:val="000000" w:themeColor="text1"/>
          <w:szCs w:val="24"/>
        </w:rPr>
        <w:t xml:space="preserve"> aktierne i datterselskabet frem for</w:t>
      </w:r>
      <w:r w:rsidR="00FB20CF" w:rsidRPr="00815B3E">
        <w:rPr>
          <w:rFonts w:cs="Times New Roman"/>
          <w:color w:val="000000" w:themeColor="text1"/>
          <w:szCs w:val="24"/>
        </w:rPr>
        <w:t xml:space="preserve">, at datterselskabet sælger selve ejendommen. Det indirekte salg af ejendommen kan således i almindelighed gennemføres uden beskatning. </w:t>
      </w:r>
    </w:p>
    <w:p w14:paraId="1A5FA7E7" w14:textId="75A54C4B" w:rsidR="009D74A4" w:rsidRPr="00815B3E" w:rsidRDefault="009D74A4" w:rsidP="009D74A4">
      <w:pPr>
        <w:rPr>
          <w:rFonts w:cs="Times New Roman"/>
          <w:color w:val="000000" w:themeColor="text1"/>
          <w:szCs w:val="24"/>
        </w:rPr>
      </w:pPr>
    </w:p>
    <w:p w14:paraId="62B9029C" w14:textId="35920D65" w:rsidR="009D74A4" w:rsidRPr="00815B3E" w:rsidRDefault="009D74A4" w:rsidP="009D74A4">
      <w:pPr>
        <w:rPr>
          <w:rFonts w:cs="Times New Roman"/>
          <w:color w:val="000000" w:themeColor="text1"/>
          <w:szCs w:val="24"/>
        </w:rPr>
      </w:pPr>
      <w:r w:rsidRPr="00815B3E">
        <w:rPr>
          <w:rFonts w:cs="Times New Roman"/>
          <w:color w:val="000000" w:themeColor="text1"/>
          <w:szCs w:val="24"/>
        </w:rPr>
        <w:t xml:space="preserve">Det er </w:t>
      </w:r>
      <w:r w:rsidR="00D43D51" w:rsidRPr="00815B3E">
        <w:rPr>
          <w:rFonts w:cs="Times New Roman"/>
          <w:color w:val="000000" w:themeColor="text1"/>
          <w:szCs w:val="24"/>
        </w:rPr>
        <w:t>således i dag</w:t>
      </w:r>
      <w:r w:rsidRPr="00815B3E">
        <w:rPr>
          <w:rFonts w:cs="Times New Roman"/>
          <w:color w:val="000000" w:themeColor="text1"/>
          <w:szCs w:val="24"/>
        </w:rPr>
        <w:t xml:space="preserve"> muligt for </w:t>
      </w:r>
      <w:r w:rsidR="00577FC2" w:rsidRPr="00815B3E">
        <w:rPr>
          <w:rFonts w:cs="Times New Roman"/>
          <w:color w:val="000000" w:themeColor="text1"/>
          <w:szCs w:val="24"/>
        </w:rPr>
        <w:t>selskaber</w:t>
      </w:r>
      <w:r w:rsidR="0025454D" w:rsidRPr="00815B3E">
        <w:rPr>
          <w:rFonts w:cs="Times New Roman"/>
          <w:color w:val="000000" w:themeColor="text1"/>
          <w:szCs w:val="24"/>
        </w:rPr>
        <w:t>,</w:t>
      </w:r>
      <w:r w:rsidR="00577FC2" w:rsidRPr="00815B3E">
        <w:rPr>
          <w:rFonts w:cs="Times New Roman"/>
          <w:color w:val="000000" w:themeColor="text1"/>
          <w:szCs w:val="24"/>
        </w:rPr>
        <w:t xml:space="preserve"> herunder </w:t>
      </w:r>
      <w:r w:rsidR="00D43D51" w:rsidRPr="00815B3E">
        <w:rPr>
          <w:rFonts w:cs="Times New Roman"/>
          <w:color w:val="000000" w:themeColor="text1"/>
          <w:szCs w:val="24"/>
        </w:rPr>
        <w:t>u</w:t>
      </w:r>
      <w:r w:rsidRPr="00815B3E">
        <w:rPr>
          <w:rFonts w:cs="Times New Roman"/>
          <w:color w:val="000000" w:themeColor="text1"/>
          <w:szCs w:val="24"/>
        </w:rPr>
        <w:t xml:space="preserve">denlandske </w:t>
      </w:r>
      <w:r w:rsidR="00CB707F" w:rsidRPr="00815B3E">
        <w:rPr>
          <w:rFonts w:cs="Times New Roman"/>
          <w:color w:val="000000" w:themeColor="text1"/>
          <w:szCs w:val="24"/>
        </w:rPr>
        <w:t>selskaber</w:t>
      </w:r>
      <w:r w:rsidR="0025454D" w:rsidRPr="00815B3E">
        <w:rPr>
          <w:rFonts w:cs="Times New Roman"/>
          <w:color w:val="000000" w:themeColor="text1"/>
          <w:szCs w:val="24"/>
        </w:rPr>
        <w:t>,</w:t>
      </w:r>
      <w:r w:rsidRPr="00815B3E">
        <w:rPr>
          <w:rFonts w:cs="Times New Roman"/>
          <w:color w:val="000000" w:themeColor="text1"/>
          <w:szCs w:val="24"/>
        </w:rPr>
        <w:t xml:space="preserve"> at sælge datterselskabsaktier</w:t>
      </w:r>
      <w:r w:rsidR="00EF2484" w:rsidRPr="00815B3E">
        <w:rPr>
          <w:rFonts w:cs="Times New Roman"/>
          <w:color w:val="000000" w:themeColor="text1"/>
          <w:szCs w:val="24"/>
        </w:rPr>
        <w:t xml:space="preserve">ne i det selskab, som ejer </w:t>
      </w:r>
      <w:r w:rsidR="003D707E" w:rsidRPr="00815B3E">
        <w:rPr>
          <w:rFonts w:cs="Times New Roman"/>
          <w:color w:val="000000" w:themeColor="text1"/>
          <w:szCs w:val="24"/>
        </w:rPr>
        <w:t xml:space="preserve">en </w:t>
      </w:r>
      <w:r w:rsidR="00EF2484" w:rsidRPr="00815B3E">
        <w:rPr>
          <w:rFonts w:cs="Times New Roman"/>
          <w:color w:val="000000" w:themeColor="text1"/>
          <w:szCs w:val="24"/>
        </w:rPr>
        <w:t>ejendom</w:t>
      </w:r>
      <w:r w:rsidR="00D43D51" w:rsidRPr="00815B3E">
        <w:rPr>
          <w:rFonts w:cs="Times New Roman"/>
          <w:color w:val="000000" w:themeColor="text1"/>
          <w:szCs w:val="24"/>
        </w:rPr>
        <w:t>, uden at der udløses beskatning, selv om ejendommen er steget i værdi siden erhverve</w:t>
      </w:r>
      <w:r w:rsidR="00C27179" w:rsidRPr="00815B3E">
        <w:rPr>
          <w:rFonts w:cs="Times New Roman"/>
          <w:color w:val="000000" w:themeColor="text1"/>
          <w:szCs w:val="24"/>
        </w:rPr>
        <w:t>ls</w:t>
      </w:r>
      <w:r w:rsidR="00D43D51" w:rsidRPr="00815B3E">
        <w:rPr>
          <w:rFonts w:cs="Times New Roman"/>
          <w:color w:val="000000" w:themeColor="text1"/>
          <w:szCs w:val="24"/>
        </w:rPr>
        <w:t>en</w:t>
      </w:r>
      <w:r w:rsidR="00577FC2" w:rsidRPr="00815B3E">
        <w:rPr>
          <w:rFonts w:cs="Times New Roman"/>
          <w:color w:val="000000" w:themeColor="text1"/>
          <w:szCs w:val="24"/>
        </w:rPr>
        <w:t xml:space="preserve">. Beskatning af ejendomsavancen </w:t>
      </w:r>
      <w:r w:rsidR="00D43D51" w:rsidRPr="00815B3E">
        <w:rPr>
          <w:rFonts w:cs="Times New Roman"/>
          <w:color w:val="000000" w:themeColor="text1"/>
          <w:szCs w:val="24"/>
        </w:rPr>
        <w:t>udskydes</w:t>
      </w:r>
      <w:r w:rsidR="0025454D" w:rsidRPr="00815B3E">
        <w:rPr>
          <w:rFonts w:cs="Times New Roman"/>
          <w:color w:val="000000" w:themeColor="text1"/>
          <w:szCs w:val="24"/>
        </w:rPr>
        <w:t>,</w:t>
      </w:r>
      <w:r w:rsidR="00577FC2" w:rsidRPr="00815B3E">
        <w:rPr>
          <w:rFonts w:cs="Times New Roman"/>
          <w:color w:val="000000" w:themeColor="text1"/>
          <w:szCs w:val="24"/>
        </w:rPr>
        <w:t xml:space="preserve"> indtil det tidspunkt, hvor datterselskabet afstår selve ejendommen</w:t>
      </w:r>
      <w:r w:rsidRPr="00815B3E">
        <w:rPr>
          <w:rFonts w:cs="Times New Roman"/>
          <w:color w:val="000000" w:themeColor="text1"/>
          <w:szCs w:val="24"/>
        </w:rPr>
        <w:t xml:space="preserve">. På den måde </w:t>
      </w:r>
      <w:r w:rsidR="00577FC2" w:rsidRPr="00815B3E">
        <w:rPr>
          <w:rFonts w:cs="Times New Roman"/>
          <w:color w:val="000000" w:themeColor="text1"/>
          <w:szCs w:val="24"/>
        </w:rPr>
        <w:t xml:space="preserve">udskydes eller undgås beskatningen af </w:t>
      </w:r>
      <w:r w:rsidR="001D36ED" w:rsidRPr="00815B3E">
        <w:rPr>
          <w:rFonts w:cs="Times New Roman"/>
          <w:color w:val="000000" w:themeColor="text1"/>
          <w:szCs w:val="24"/>
        </w:rPr>
        <w:t>ejendoms</w:t>
      </w:r>
      <w:r w:rsidRPr="00815B3E">
        <w:rPr>
          <w:rFonts w:cs="Times New Roman"/>
          <w:color w:val="000000" w:themeColor="text1"/>
          <w:szCs w:val="24"/>
        </w:rPr>
        <w:t>avancen.</w:t>
      </w:r>
    </w:p>
    <w:p w14:paraId="6EA615A0" w14:textId="77777777" w:rsidR="009D74A4" w:rsidRPr="00815B3E" w:rsidRDefault="009D74A4" w:rsidP="009D74A4">
      <w:pPr>
        <w:rPr>
          <w:color w:val="000000" w:themeColor="text1"/>
        </w:rPr>
      </w:pPr>
    </w:p>
    <w:p w14:paraId="1DF61268" w14:textId="3F1898D5" w:rsidR="009D74A4" w:rsidRPr="00815B3E" w:rsidRDefault="00264BFD" w:rsidP="009D74A4">
      <w:pPr>
        <w:pStyle w:val="Undertitel"/>
        <w:spacing w:after="0"/>
        <w:rPr>
          <w:color w:val="000000" w:themeColor="text1"/>
        </w:rPr>
      </w:pPr>
      <w:bookmarkStart w:id="137" w:name="_Toc526409504"/>
      <w:bookmarkStart w:id="138" w:name="_Toc526491403"/>
      <w:bookmarkStart w:id="139" w:name="_Toc526505515"/>
      <w:bookmarkStart w:id="140" w:name="_Toc526756607"/>
      <w:r>
        <w:rPr>
          <w:color w:val="000000" w:themeColor="text1"/>
        </w:rPr>
        <w:t>2</w:t>
      </w:r>
      <w:r w:rsidR="009D74A4" w:rsidRPr="00815B3E">
        <w:rPr>
          <w:color w:val="000000" w:themeColor="text1"/>
        </w:rPr>
        <w:t>.1.2. Skatteministeriets overvejelser</w:t>
      </w:r>
      <w:bookmarkEnd w:id="137"/>
      <w:bookmarkEnd w:id="138"/>
      <w:bookmarkEnd w:id="139"/>
      <w:bookmarkEnd w:id="140"/>
    </w:p>
    <w:p w14:paraId="29EFE3F3" w14:textId="1535924E" w:rsidR="006305E3" w:rsidRPr="00815B3E" w:rsidRDefault="006305E3" w:rsidP="006305E3">
      <w:pPr>
        <w:spacing w:after="240"/>
        <w:rPr>
          <w:rFonts w:eastAsia="Calibri" w:cs="Times New Roman"/>
          <w:color w:val="000000" w:themeColor="text1"/>
          <w:szCs w:val="24"/>
        </w:rPr>
      </w:pPr>
      <w:r w:rsidRPr="00815B3E">
        <w:rPr>
          <w:rFonts w:eastAsia="Calibri" w:cs="Times New Roman"/>
          <w:color w:val="000000" w:themeColor="text1"/>
          <w:szCs w:val="24"/>
        </w:rPr>
        <w:t xml:space="preserve">Af </w:t>
      </w:r>
      <w:r w:rsidR="00827186" w:rsidRPr="00815B3E">
        <w:rPr>
          <w:rFonts w:eastAsia="Calibri" w:cs="Times New Roman"/>
          <w:color w:val="000000" w:themeColor="text1"/>
          <w:szCs w:val="24"/>
        </w:rPr>
        <w:t>”</w:t>
      </w:r>
      <w:r w:rsidRPr="00815B3E">
        <w:rPr>
          <w:rFonts w:eastAsia="Calibri" w:cs="Times New Roman"/>
          <w:color w:val="000000" w:themeColor="text1"/>
          <w:szCs w:val="24"/>
        </w:rPr>
        <w:t>Aftale om en ny ret til tidlig pension</w:t>
      </w:r>
      <w:r w:rsidR="00827186" w:rsidRPr="00815B3E">
        <w:rPr>
          <w:rFonts w:eastAsia="Calibri" w:cs="Times New Roman"/>
          <w:color w:val="000000" w:themeColor="text1"/>
          <w:szCs w:val="24"/>
        </w:rPr>
        <w:t>”</w:t>
      </w:r>
      <w:r w:rsidRPr="00815B3E">
        <w:rPr>
          <w:rFonts w:eastAsia="Calibri" w:cs="Times New Roman"/>
          <w:color w:val="000000" w:themeColor="text1"/>
          <w:szCs w:val="24"/>
        </w:rPr>
        <w:t xml:space="preserve"> fremgår, at der fra 2023 skal indføres lagerbeskatning af </w:t>
      </w:r>
      <w:r w:rsidR="0028406E">
        <w:rPr>
          <w:rFonts w:eastAsia="Calibri" w:cs="Times New Roman"/>
          <w:color w:val="000000" w:themeColor="text1"/>
          <w:szCs w:val="24"/>
        </w:rPr>
        <w:t xml:space="preserve">selskabers </w:t>
      </w:r>
      <w:r w:rsidRPr="00815B3E">
        <w:rPr>
          <w:rFonts w:eastAsia="Calibri" w:cs="Times New Roman"/>
          <w:color w:val="000000" w:themeColor="text1"/>
          <w:szCs w:val="24"/>
        </w:rPr>
        <w:t xml:space="preserve">ejendomsavancer. </w:t>
      </w:r>
    </w:p>
    <w:p w14:paraId="412B5C01" w14:textId="5B22A7C7" w:rsidR="006305E3" w:rsidRPr="00815B3E" w:rsidRDefault="006305E3" w:rsidP="006305E3">
      <w:pPr>
        <w:spacing w:after="240"/>
        <w:rPr>
          <w:rFonts w:eastAsia="Calibri" w:cs="Times New Roman"/>
          <w:color w:val="000000" w:themeColor="text1"/>
          <w:szCs w:val="24"/>
        </w:rPr>
      </w:pPr>
      <w:r w:rsidRPr="00815B3E">
        <w:rPr>
          <w:rFonts w:eastAsia="Calibri" w:cs="Times New Roman"/>
          <w:color w:val="000000" w:themeColor="text1"/>
          <w:szCs w:val="24"/>
        </w:rPr>
        <w:t xml:space="preserve">Aftalepartierne ønsker at sikre en effektiv beskatning af selskabers ejendomsavancer ved at indføre en løbende beskatning af værdistigninger på selskabers ejendomme efter et lagerprincip svarende til den måde, pensionsselskaber beskattes i dag. </w:t>
      </w:r>
    </w:p>
    <w:p w14:paraId="4AF4B964" w14:textId="7457C75E" w:rsidR="006305E3" w:rsidRPr="00815B3E" w:rsidRDefault="006305E3" w:rsidP="006305E3">
      <w:pPr>
        <w:spacing w:after="240"/>
        <w:rPr>
          <w:rFonts w:eastAsia="Calibri" w:cs="Times New Roman"/>
          <w:color w:val="000000" w:themeColor="text1"/>
          <w:szCs w:val="24"/>
        </w:rPr>
      </w:pPr>
      <w:r w:rsidRPr="00815B3E">
        <w:rPr>
          <w:rFonts w:eastAsia="Calibri" w:cs="Times New Roman"/>
          <w:color w:val="000000" w:themeColor="text1"/>
          <w:szCs w:val="24"/>
        </w:rPr>
        <w:t xml:space="preserve">Selskaber er allerede på nuværende tidspunkt skattepligtige af ejendomsavancer. Beskatningen sker dog først, når en gevinst realiseres ved salg af ejendommen. </w:t>
      </w:r>
      <w:r w:rsidR="00AB5C96">
        <w:rPr>
          <w:rFonts w:eastAsia="Calibri" w:cs="Times New Roman"/>
          <w:color w:val="000000" w:themeColor="text1"/>
          <w:szCs w:val="24"/>
        </w:rPr>
        <w:t>Danske og udenlandske s</w:t>
      </w:r>
      <w:r w:rsidRPr="00815B3E">
        <w:rPr>
          <w:rFonts w:eastAsia="Calibri" w:cs="Times New Roman"/>
          <w:color w:val="000000" w:themeColor="text1"/>
          <w:szCs w:val="24"/>
        </w:rPr>
        <w:t>elskaber kan dermed undgå beskatningen af ejendomsavancer ved at placere ejendommen i et datterselskab og sælge datterselskabet i stedet for selve ejendommen, idet gevinster på datterselskabsaktier er skattefrie.</w:t>
      </w:r>
    </w:p>
    <w:p w14:paraId="2260D14C" w14:textId="73BEA83A" w:rsidR="006305E3" w:rsidRPr="00815B3E" w:rsidRDefault="006305E3" w:rsidP="006305E3">
      <w:pPr>
        <w:spacing w:after="240"/>
        <w:rPr>
          <w:rFonts w:eastAsia="Calibri" w:cs="Times New Roman"/>
          <w:color w:val="000000" w:themeColor="text1"/>
          <w:szCs w:val="24"/>
        </w:rPr>
      </w:pPr>
      <w:r w:rsidRPr="00815B3E">
        <w:rPr>
          <w:rFonts w:eastAsia="Calibri" w:cs="Times New Roman"/>
          <w:color w:val="000000" w:themeColor="text1"/>
          <w:szCs w:val="24"/>
        </w:rPr>
        <w:t>Aftalepartierne er enige om, at lagerbeskatningen skal gælde for selskaber mv., der omfattes af den almindelige selskabsbeskatning på 22 pct. af</w:t>
      </w:r>
      <w:r w:rsidR="00270DE5">
        <w:rPr>
          <w:rFonts w:eastAsia="Calibri" w:cs="Times New Roman"/>
          <w:color w:val="000000" w:themeColor="text1"/>
          <w:szCs w:val="24"/>
        </w:rPr>
        <w:t xml:space="preserve"> den skattepligtige</w:t>
      </w:r>
      <w:r w:rsidRPr="00815B3E">
        <w:rPr>
          <w:rFonts w:eastAsia="Calibri" w:cs="Times New Roman"/>
          <w:color w:val="000000" w:themeColor="text1"/>
          <w:szCs w:val="24"/>
        </w:rPr>
        <w:t xml:space="preserve"> indkomst. Lagerbeskatningen skal derimod ikke gælde for personligt drevne virksomheder.</w:t>
      </w:r>
    </w:p>
    <w:p w14:paraId="7020B3EB" w14:textId="65580286" w:rsidR="006305E3" w:rsidRPr="00815B3E" w:rsidRDefault="006305E3" w:rsidP="006305E3">
      <w:pPr>
        <w:spacing w:after="240"/>
        <w:rPr>
          <w:rFonts w:eastAsia="Calibri" w:cs="Times New Roman"/>
          <w:color w:val="000000" w:themeColor="text1"/>
          <w:szCs w:val="24"/>
        </w:rPr>
      </w:pPr>
      <w:r w:rsidRPr="00815B3E">
        <w:rPr>
          <w:rFonts w:eastAsia="Calibri" w:cs="Times New Roman"/>
          <w:color w:val="000000" w:themeColor="text1"/>
          <w:szCs w:val="24"/>
        </w:rPr>
        <w:t xml:space="preserve">Ejendomme, som selskabet i overvejende grad anvender i egen drift, </w:t>
      </w:r>
      <w:r w:rsidR="00270DE5">
        <w:rPr>
          <w:rFonts w:eastAsia="Calibri" w:cs="Times New Roman"/>
          <w:color w:val="000000" w:themeColor="text1"/>
          <w:szCs w:val="24"/>
        </w:rPr>
        <w:t xml:space="preserve">foreslås dog </w:t>
      </w:r>
      <w:proofErr w:type="gramStart"/>
      <w:r w:rsidRPr="00815B3E">
        <w:rPr>
          <w:rFonts w:eastAsia="Calibri" w:cs="Times New Roman"/>
          <w:color w:val="000000" w:themeColor="text1"/>
          <w:szCs w:val="24"/>
        </w:rPr>
        <w:t>undtage</w:t>
      </w:r>
      <w:r w:rsidR="00270DE5">
        <w:rPr>
          <w:rFonts w:eastAsia="Calibri" w:cs="Times New Roman"/>
          <w:color w:val="000000" w:themeColor="text1"/>
          <w:szCs w:val="24"/>
        </w:rPr>
        <w:t>t</w:t>
      </w:r>
      <w:r w:rsidRPr="00815B3E">
        <w:rPr>
          <w:rFonts w:eastAsia="Calibri" w:cs="Times New Roman"/>
          <w:color w:val="000000" w:themeColor="text1"/>
          <w:szCs w:val="24"/>
        </w:rPr>
        <w:t xml:space="preserve">  fra</w:t>
      </w:r>
      <w:proofErr w:type="gramEnd"/>
      <w:r w:rsidRPr="00815B3E">
        <w:rPr>
          <w:rFonts w:eastAsia="Calibri" w:cs="Times New Roman"/>
          <w:color w:val="000000" w:themeColor="text1"/>
          <w:szCs w:val="24"/>
        </w:rPr>
        <w:t xml:space="preserve"> lagerbeskatningen. Det gælder f</w:t>
      </w:r>
      <w:r w:rsidR="00813769">
        <w:rPr>
          <w:rFonts w:eastAsia="Calibri" w:cs="Times New Roman"/>
          <w:color w:val="000000" w:themeColor="text1"/>
          <w:szCs w:val="24"/>
        </w:rPr>
        <w:t>.eks.</w:t>
      </w:r>
      <w:r w:rsidRPr="00815B3E">
        <w:rPr>
          <w:rFonts w:eastAsia="Calibri" w:cs="Times New Roman"/>
          <w:color w:val="000000" w:themeColor="text1"/>
          <w:szCs w:val="24"/>
        </w:rPr>
        <w:t xml:space="preserve"> ejendomme, der af selskabet selv eller et koncernselskab anvendes til administration, lager, produktion eller landbrug. For at mindske de administrative byrder forbun</w:t>
      </w:r>
      <w:r w:rsidRPr="00815B3E">
        <w:rPr>
          <w:rFonts w:eastAsia="Calibri" w:cs="Times New Roman"/>
          <w:color w:val="000000" w:themeColor="text1"/>
          <w:szCs w:val="24"/>
        </w:rPr>
        <w:lastRenderedPageBreak/>
        <w:t xml:space="preserve">det med forslaget for både selskaberne og </w:t>
      </w:r>
      <w:r w:rsidR="007C7BC5">
        <w:rPr>
          <w:rFonts w:eastAsia="Calibri" w:cs="Times New Roman"/>
          <w:color w:val="000000" w:themeColor="text1"/>
          <w:szCs w:val="24"/>
        </w:rPr>
        <w:t>Skatteforvaltningen</w:t>
      </w:r>
      <w:r w:rsidRPr="00815B3E">
        <w:rPr>
          <w:rFonts w:eastAsia="Calibri" w:cs="Times New Roman"/>
          <w:color w:val="000000" w:themeColor="text1"/>
          <w:szCs w:val="24"/>
        </w:rPr>
        <w:t xml:space="preserve"> indføres desuden en beløbsgrænse på 100 mio. kr., så koncerner med mindre ejendomsporteføljer undtages. Det vurderes umiddelbart, at op imod 75 pct. af ejendomsselskaberne vil blive undtaget med en sådan beløbsgrænse. Hovedparten af ejendomsværdierne ventes dog omfattet, da branchen er præget af få store aktører og mange små ejendomsselskaber.</w:t>
      </w:r>
    </w:p>
    <w:p w14:paraId="46C85B9D" w14:textId="3DFBADDF" w:rsidR="009D74A4" w:rsidRPr="00815B3E" w:rsidRDefault="00264BFD" w:rsidP="009D74A4">
      <w:pPr>
        <w:pStyle w:val="Undertitel"/>
        <w:spacing w:after="0"/>
        <w:rPr>
          <w:rFonts w:eastAsia="Calibri"/>
          <w:color w:val="000000" w:themeColor="text1"/>
        </w:rPr>
      </w:pPr>
      <w:bookmarkStart w:id="141" w:name="_Toc526409505"/>
      <w:bookmarkStart w:id="142" w:name="_Toc526491404"/>
      <w:bookmarkStart w:id="143" w:name="_Toc526505516"/>
      <w:bookmarkStart w:id="144" w:name="_Toc526756608"/>
      <w:r>
        <w:rPr>
          <w:color w:val="000000" w:themeColor="text1"/>
        </w:rPr>
        <w:t>2</w:t>
      </w:r>
      <w:r w:rsidR="009D74A4" w:rsidRPr="00815B3E">
        <w:rPr>
          <w:color w:val="000000" w:themeColor="text1"/>
        </w:rPr>
        <w:t>.1.3. Den foreslåede ordning</w:t>
      </w:r>
      <w:bookmarkEnd w:id="141"/>
      <w:bookmarkEnd w:id="142"/>
      <w:bookmarkEnd w:id="143"/>
      <w:bookmarkEnd w:id="144"/>
    </w:p>
    <w:p w14:paraId="0F6F74D3" w14:textId="32D6A820" w:rsidR="009D74A4" w:rsidRPr="00815B3E" w:rsidRDefault="006305E3" w:rsidP="009D74A4">
      <w:pPr>
        <w:spacing w:after="240"/>
        <w:rPr>
          <w:rFonts w:eastAsia="Calibri" w:cs="Times New Roman"/>
          <w:color w:val="000000" w:themeColor="text1"/>
          <w:szCs w:val="24"/>
        </w:rPr>
      </w:pPr>
      <w:r w:rsidRPr="00815B3E">
        <w:rPr>
          <w:rFonts w:eastAsia="Calibri" w:cs="Times New Roman"/>
          <w:color w:val="000000" w:themeColor="text1"/>
          <w:szCs w:val="24"/>
        </w:rPr>
        <w:t xml:space="preserve">I overensstemmelse med </w:t>
      </w:r>
      <w:r w:rsidR="00827186" w:rsidRPr="00815B3E">
        <w:rPr>
          <w:rFonts w:eastAsia="Calibri" w:cs="Times New Roman"/>
          <w:color w:val="000000" w:themeColor="text1"/>
          <w:szCs w:val="24"/>
        </w:rPr>
        <w:t>”</w:t>
      </w:r>
      <w:r w:rsidRPr="00815B3E">
        <w:rPr>
          <w:rFonts w:eastAsia="Calibri" w:cs="Times New Roman"/>
          <w:color w:val="000000" w:themeColor="text1"/>
          <w:szCs w:val="24"/>
        </w:rPr>
        <w:t>Aftale om en ny ret til tidlig pension</w:t>
      </w:r>
      <w:r w:rsidR="00827186" w:rsidRPr="00815B3E">
        <w:rPr>
          <w:rFonts w:eastAsia="Calibri" w:cs="Times New Roman"/>
          <w:color w:val="000000" w:themeColor="text1"/>
          <w:szCs w:val="24"/>
        </w:rPr>
        <w:t>”</w:t>
      </w:r>
      <w:r w:rsidR="009D74A4" w:rsidRPr="00815B3E">
        <w:rPr>
          <w:rFonts w:eastAsia="Calibri" w:cs="Times New Roman"/>
          <w:color w:val="000000" w:themeColor="text1"/>
          <w:szCs w:val="24"/>
        </w:rPr>
        <w:t xml:space="preserve"> foreslås</w:t>
      </w:r>
      <w:r w:rsidRPr="00815B3E">
        <w:rPr>
          <w:rFonts w:eastAsia="Calibri" w:cs="Times New Roman"/>
          <w:color w:val="000000" w:themeColor="text1"/>
          <w:szCs w:val="24"/>
        </w:rPr>
        <w:t xml:space="preserve"> det</w:t>
      </w:r>
      <w:r w:rsidR="009D74A4" w:rsidRPr="00815B3E">
        <w:rPr>
          <w:rFonts w:eastAsia="Calibri" w:cs="Times New Roman"/>
          <w:color w:val="000000" w:themeColor="text1"/>
          <w:szCs w:val="24"/>
        </w:rPr>
        <w:t xml:space="preserve"> at indføre et lagerprincip </w:t>
      </w:r>
      <w:r w:rsidR="00B81053" w:rsidRPr="00815B3E">
        <w:rPr>
          <w:rFonts w:eastAsia="Calibri" w:cs="Times New Roman"/>
          <w:color w:val="000000" w:themeColor="text1"/>
          <w:szCs w:val="24"/>
        </w:rPr>
        <w:t>for selskaber ved opgørelsen af ejendoms</w:t>
      </w:r>
      <w:r w:rsidR="009D74A4" w:rsidRPr="00815B3E">
        <w:rPr>
          <w:rFonts w:eastAsia="Calibri" w:cs="Times New Roman"/>
          <w:color w:val="000000" w:themeColor="text1"/>
          <w:szCs w:val="24"/>
        </w:rPr>
        <w:t xml:space="preserve">avancer. Lagerbeskatningen vil </w:t>
      </w:r>
      <w:r w:rsidRPr="00815B3E">
        <w:rPr>
          <w:rFonts w:eastAsia="Calibri" w:cs="Times New Roman"/>
          <w:color w:val="000000" w:themeColor="text1"/>
          <w:szCs w:val="24"/>
        </w:rPr>
        <w:t xml:space="preserve">medvirke til at finansiere retten til tidlig pension. Samtidig </w:t>
      </w:r>
      <w:r w:rsidR="009D74A4" w:rsidRPr="00815B3E">
        <w:rPr>
          <w:rFonts w:eastAsia="Calibri" w:cs="Times New Roman"/>
          <w:color w:val="000000" w:themeColor="text1"/>
          <w:szCs w:val="24"/>
        </w:rPr>
        <w:t>sikre</w:t>
      </w:r>
      <w:r w:rsidRPr="00815B3E">
        <w:rPr>
          <w:rFonts w:eastAsia="Calibri" w:cs="Times New Roman"/>
          <w:color w:val="000000" w:themeColor="text1"/>
          <w:szCs w:val="24"/>
        </w:rPr>
        <w:t>s det</w:t>
      </w:r>
      <w:r w:rsidR="009D74A4" w:rsidRPr="00815B3E">
        <w:rPr>
          <w:rFonts w:eastAsia="Calibri" w:cs="Times New Roman"/>
          <w:color w:val="000000" w:themeColor="text1"/>
          <w:szCs w:val="24"/>
        </w:rPr>
        <w:t xml:space="preserve">, at værdistigninger på fast ejendom kommer til beskatning løbende </w:t>
      </w:r>
      <w:r w:rsidR="00B81053" w:rsidRPr="00815B3E">
        <w:rPr>
          <w:rFonts w:eastAsia="Calibri" w:cs="Times New Roman"/>
          <w:color w:val="000000" w:themeColor="text1"/>
          <w:szCs w:val="24"/>
        </w:rPr>
        <w:t>der</w:t>
      </w:r>
      <w:r w:rsidR="009D74A4" w:rsidRPr="00815B3E">
        <w:rPr>
          <w:rFonts w:eastAsia="Calibri" w:cs="Times New Roman"/>
          <w:color w:val="000000" w:themeColor="text1"/>
          <w:szCs w:val="24"/>
        </w:rPr>
        <w:t>ved</w:t>
      </w:r>
      <w:r w:rsidR="00B81053" w:rsidRPr="00815B3E">
        <w:rPr>
          <w:rFonts w:eastAsia="Calibri" w:cs="Times New Roman"/>
          <w:color w:val="000000" w:themeColor="text1"/>
          <w:szCs w:val="24"/>
        </w:rPr>
        <w:t>,</w:t>
      </w:r>
      <w:r w:rsidR="009D74A4" w:rsidRPr="00815B3E">
        <w:rPr>
          <w:rFonts w:eastAsia="Calibri" w:cs="Times New Roman"/>
          <w:color w:val="000000" w:themeColor="text1"/>
          <w:szCs w:val="24"/>
        </w:rPr>
        <w:t xml:space="preserve"> at den skattepligtige beskattes af gevinster</w:t>
      </w:r>
      <w:r w:rsidR="0081205C" w:rsidRPr="00815B3E">
        <w:rPr>
          <w:rFonts w:eastAsia="Calibri" w:cs="Times New Roman"/>
          <w:color w:val="000000" w:themeColor="text1"/>
          <w:szCs w:val="24"/>
        </w:rPr>
        <w:t>, der opstår ved værdistigninger på faste ejendomme,</w:t>
      </w:r>
      <w:r w:rsidR="00B81053" w:rsidRPr="00815B3E">
        <w:rPr>
          <w:rFonts w:eastAsia="Calibri" w:cs="Times New Roman"/>
          <w:color w:val="000000" w:themeColor="text1"/>
          <w:szCs w:val="24"/>
        </w:rPr>
        <w:t xml:space="preserve"> og</w:t>
      </w:r>
      <w:r w:rsidR="009D74A4" w:rsidRPr="00815B3E">
        <w:rPr>
          <w:rFonts w:eastAsia="Calibri" w:cs="Times New Roman"/>
          <w:color w:val="000000" w:themeColor="text1"/>
          <w:szCs w:val="24"/>
        </w:rPr>
        <w:t xml:space="preserve"> kan fradrage tab</w:t>
      </w:r>
      <w:r w:rsidR="0081205C" w:rsidRPr="00815B3E">
        <w:rPr>
          <w:rFonts w:eastAsia="Calibri" w:cs="Times New Roman"/>
          <w:color w:val="000000" w:themeColor="text1"/>
          <w:szCs w:val="24"/>
        </w:rPr>
        <w:t>, der opstår ved værdinedgang på faste ejendomme</w:t>
      </w:r>
      <w:r w:rsidR="00B81053" w:rsidRPr="00815B3E">
        <w:rPr>
          <w:rFonts w:eastAsia="Calibri" w:cs="Times New Roman"/>
          <w:color w:val="000000" w:themeColor="text1"/>
          <w:szCs w:val="24"/>
        </w:rPr>
        <w:t>. Den løbende gevinst eller det løbende tab skal efter forslaget opgøres</w:t>
      </w:r>
      <w:r w:rsidR="009D74A4" w:rsidRPr="00815B3E">
        <w:rPr>
          <w:rFonts w:eastAsia="Calibri" w:cs="Times New Roman"/>
          <w:color w:val="000000" w:themeColor="text1"/>
          <w:szCs w:val="24"/>
        </w:rPr>
        <w:t xml:space="preserve"> </w:t>
      </w:r>
      <w:r w:rsidR="00B81053" w:rsidRPr="00815B3E">
        <w:rPr>
          <w:rFonts w:eastAsia="Calibri" w:cs="Times New Roman"/>
          <w:color w:val="000000" w:themeColor="text1"/>
          <w:szCs w:val="24"/>
        </w:rPr>
        <w:t xml:space="preserve">som </w:t>
      </w:r>
      <w:r w:rsidR="009D74A4" w:rsidRPr="00815B3E">
        <w:rPr>
          <w:rFonts w:eastAsia="Calibri" w:cs="Times New Roman"/>
          <w:color w:val="000000" w:themeColor="text1"/>
          <w:szCs w:val="24"/>
        </w:rPr>
        <w:t xml:space="preserve">forskellen mellem handelsværdien af den faste ejendom ved slutningen af indkomståret </w:t>
      </w:r>
      <w:r w:rsidR="00B81053" w:rsidRPr="00815B3E">
        <w:rPr>
          <w:rFonts w:eastAsia="Calibri" w:cs="Times New Roman"/>
          <w:color w:val="000000" w:themeColor="text1"/>
          <w:szCs w:val="24"/>
        </w:rPr>
        <w:t>og</w:t>
      </w:r>
      <w:r w:rsidR="009D74A4" w:rsidRPr="00815B3E">
        <w:rPr>
          <w:rFonts w:eastAsia="Calibri" w:cs="Times New Roman"/>
          <w:color w:val="000000" w:themeColor="text1"/>
          <w:szCs w:val="24"/>
        </w:rPr>
        <w:t xml:space="preserve"> handelsværdien </w:t>
      </w:r>
      <w:r w:rsidR="00270DE5">
        <w:rPr>
          <w:rFonts w:eastAsia="Calibri" w:cs="Times New Roman"/>
          <w:color w:val="000000" w:themeColor="text1"/>
          <w:szCs w:val="24"/>
        </w:rPr>
        <w:t xml:space="preserve">ved </w:t>
      </w:r>
      <w:r w:rsidR="009D74A4" w:rsidRPr="00815B3E">
        <w:rPr>
          <w:rFonts w:eastAsia="Calibri" w:cs="Times New Roman"/>
          <w:color w:val="000000" w:themeColor="text1"/>
          <w:szCs w:val="24"/>
        </w:rPr>
        <w:t>starten indkomståret</w:t>
      </w:r>
      <w:r w:rsidR="00804646" w:rsidRPr="00815B3E">
        <w:rPr>
          <w:rFonts w:eastAsia="Calibri" w:cs="Times New Roman"/>
          <w:color w:val="000000" w:themeColor="text1"/>
          <w:szCs w:val="24"/>
        </w:rPr>
        <w:t>, reguleret for køb og salg i indkomståret</w:t>
      </w:r>
      <w:r w:rsidR="009D74A4" w:rsidRPr="00815B3E">
        <w:rPr>
          <w:rFonts w:eastAsia="Calibri" w:cs="Times New Roman"/>
          <w:color w:val="000000" w:themeColor="text1"/>
          <w:szCs w:val="24"/>
        </w:rPr>
        <w:t xml:space="preserve">. </w:t>
      </w:r>
    </w:p>
    <w:p w14:paraId="3174FE28" w14:textId="478F74A1" w:rsidR="00975E0B" w:rsidRPr="00815B3E" w:rsidRDefault="006305E3" w:rsidP="009D74A4">
      <w:pPr>
        <w:spacing w:after="240"/>
        <w:rPr>
          <w:rFonts w:eastAsia="Calibri" w:cs="Times New Roman"/>
          <w:color w:val="000000" w:themeColor="text1"/>
          <w:szCs w:val="24"/>
        </w:rPr>
      </w:pPr>
      <w:r w:rsidRPr="00815B3E">
        <w:rPr>
          <w:rFonts w:eastAsia="Calibri" w:cs="Times New Roman"/>
          <w:color w:val="000000" w:themeColor="text1"/>
          <w:szCs w:val="24"/>
        </w:rPr>
        <w:t xml:space="preserve">I overensstemmelse med aftalen </w:t>
      </w:r>
      <w:r w:rsidR="009D74A4" w:rsidRPr="00815B3E">
        <w:rPr>
          <w:rFonts w:eastAsia="Calibri" w:cs="Times New Roman"/>
          <w:color w:val="000000" w:themeColor="text1"/>
          <w:szCs w:val="24"/>
        </w:rPr>
        <w:t>foreslås</w:t>
      </w:r>
      <w:r w:rsidRPr="00815B3E">
        <w:rPr>
          <w:rFonts w:eastAsia="Calibri" w:cs="Times New Roman"/>
          <w:color w:val="000000" w:themeColor="text1"/>
          <w:szCs w:val="24"/>
        </w:rPr>
        <w:t xml:space="preserve"> det</w:t>
      </w:r>
      <w:r w:rsidR="009D74A4" w:rsidRPr="00815B3E">
        <w:rPr>
          <w:rFonts w:eastAsia="Calibri" w:cs="Times New Roman"/>
          <w:color w:val="000000" w:themeColor="text1"/>
          <w:szCs w:val="24"/>
        </w:rPr>
        <w:t>, at</w:t>
      </w:r>
      <w:r w:rsidR="00975E0B" w:rsidRPr="00815B3E">
        <w:rPr>
          <w:rFonts w:eastAsia="Calibri" w:cs="Times New Roman"/>
          <w:color w:val="000000" w:themeColor="text1"/>
          <w:szCs w:val="24"/>
        </w:rPr>
        <w:t xml:space="preserve"> den foreslåede</w:t>
      </w:r>
      <w:r w:rsidR="009D74A4" w:rsidRPr="00815B3E">
        <w:rPr>
          <w:rFonts w:eastAsia="Calibri" w:cs="Times New Roman"/>
          <w:color w:val="000000" w:themeColor="text1"/>
          <w:szCs w:val="24"/>
        </w:rPr>
        <w:t xml:space="preserve"> </w:t>
      </w:r>
      <w:r w:rsidR="00975E0B" w:rsidRPr="00815B3E">
        <w:rPr>
          <w:rFonts w:eastAsia="Calibri" w:cs="Times New Roman"/>
          <w:color w:val="000000" w:themeColor="text1"/>
          <w:szCs w:val="24"/>
        </w:rPr>
        <w:t xml:space="preserve">lagerbeskatning </w:t>
      </w:r>
      <w:r w:rsidRPr="00815B3E">
        <w:rPr>
          <w:rFonts w:eastAsia="Calibri" w:cs="Times New Roman"/>
          <w:color w:val="000000" w:themeColor="text1"/>
          <w:szCs w:val="24"/>
        </w:rPr>
        <w:t xml:space="preserve">kun </w:t>
      </w:r>
      <w:r w:rsidR="00B04832" w:rsidRPr="00815B3E">
        <w:rPr>
          <w:rFonts w:eastAsia="Calibri" w:cs="Times New Roman"/>
          <w:color w:val="000000" w:themeColor="text1"/>
          <w:szCs w:val="24"/>
        </w:rPr>
        <w:t>skal gælde for selskaber</w:t>
      </w:r>
      <w:r w:rsidR="00B81053" w:rsidRPr="00815B3E">
        <w:rPr>
          <w:rFonts w:eastAsia="Calibri" w:cs="Times New Roman"/>
          <w:color w:val="000000" w:themeColor="text1"/>
          <w:szCs w:val="24"/>
        </w:rPr>
        <w:t xml:space="preserve"> m.v. omfattet af selskabsskatteloven</w:t>
      </w:r>
      <w:r w:rsidR="00975E0B" w:rsidRPr="00815B3E">
        <w:rPr>
          <w:rFonts w:eastAsia="Calibri" w:cs="Times New Roman"/>
          <w:color w:val="000000" w:themeColor="text1"/>
          <w:szCs w:val="24"/>
        </w:rPr>
        <w:t>, det vil bl.a. sige aktieselskaber, anpartsselskaber og andre selskaber</w:t>
      </w:r>
      <w:r w:rsidR="00DF0D56" w:rsidRPr="00815B3E">
        <w:rPr>
          <w:rFonts w:eastAsia="Calibri" w:cs="Times New Roman"/>
          <w:color w:val="000000" w:themeColor="text1"/>
          <w:szCs w:val="24"/>
        </w:rPr>
        <w:t xml:space="preserve"> m.v.</w:t>
      </w:r>
      <w:r w:rsidR="00975E0B" w:rsidRPr="00815B3E">
        <w:rPr>
          <w:rFonts w:eastAsia="Calibri" w:cs="Times New Roman"/>
          <w:color w:val="000000" w:themeColor="text1"/>
          <w:szCs w:val="24"/>
        </w:rPr>
        <w:t xml:space="preserve"> med begrænset hæftelse.</w:t>
      </w:r>
    </w:p>
    <w:p w14:paraId="420E185C" w14:textId="6664A2AF" w:rsidR="009D74A4" w:rsidRPr="00815B3E" w:rsidRDefault="006305E3" w:rsidP="009D74A4">
      <w:pPr>
        <w:spacing w:after="240"/>
        <w:rPr>
          <w:rFonts w:eastAsia="Calibri" w:cs="Times New Roman"/>
          <w:color w:val="000000" w:themeColor="text1"/>
          <w:szCs w:val="24"/>
        </w:rPr>
      </w:pPr>
      <w:r w:rsidRPr="00815B3E">
        <w:rPr>
          <w:rFonts w:eastAsia="Calibri" w:cs="Times New Roman"/>
          <w:color w:val="000000" w:themeColor="text1"/>
          <w:szCs w:val="24"/>
        </w:rPr>
        <w:t>Det er desuden</w:t>
      </w:r>
      <w:r w:rsidR="00975E0B" w:rsidRPr="00815B3E">
        <w:rPr>
          <w:rFonts w:eastAsia="Calibri" w:cs="Times New Roman"/>
          <w:color w:val="000000" w:themeColor="text1"/>
          <w:szCs w:val="24"/>
        </w:rPr>
        <w:t xml:space="preserve"> kun</w:t>
      </w:r>
      <w:r w:rsidRPr="00815B3E">
        <w:rPr>
          <w:rFonts w:eastAsia="Calibri" w:cs="Times New Roman"/>
          <w:color w:val="000000" w:themeColor="text1"/>
          <w:szCs w:val="24"/>
        </w:rPr>
        <w:t xml:space="preserve"> </w:t>
      </w:r>
      <w:r w:rsidR="00975E0B" w:rsidRPr="00815B3E">
        <w:rPr>
          <w:rFonts w:eastAsia="Calibri" w:cs="Times New Roman"/>
          <w:color w:val="000000" w:themeColor="text1"/>
          <w:szCs w:val="24"/>
        </w:rPr>
        <w:t>selskaber m.v., der</w:t>
      </w:r>
      <w:r w:rsidR="00314FDD" w:rsidRPr="00815B3E">
        <w:rPr>
          <w:rFonts w:eastAsia="Calibri" w:cs="Times New Roman"/>
          <w:color w:val="000000" w:themeColor="text1"/>
          <w:szCs w:val="24"/>
        </w:rPr>
        <w:t xml:space="preserve"> via selskabsretlige konstruktioner kan</w:t>
      </w:r>
      <w:r w:rsidR="00975E0B" w:rsidRPr="00815B3E">
        <w:rPr>
          <w:rFonts w:eastAsia="Calibri" w:cs="Times New Roman"/>
          <w:color w:val="000000" w:themeColor="text1"/>
          <w:szCs w:val="24"/>
        </w:rPr>
        <w:t xml:space="preserve"> undgå eller udskyde ejendomsavancebeskatningen</w:t>
      </w:r>
      <w:r w:rsidR="00314FDD" w:rsidRPr="00815B3E">
        <w:rPr>
          <w:rFonts w:eastAsia="Calibri" w:cs="Times New Roman"/>
          <w:color w:val="000000" w:themeColor="text1"/>
          <w:szCs w:val="24"/>
        </w:rPr>
        <w:t xml:space="preserve">. </w:t>
      </w:r>
      <w:r w:rsidR="00975E0B" w:rsidRPr="00815B3E">
        <w:rPr>
          <w:rFonts w:eastAsia="Calibri" w:cs="Times New Roman"/>
          <w:color w:val="000000" w:themeColor="text1"/>
          <w:szCs w:val="24"/>
        </w:rPr>
        <w:t xml:space="preserve">Fonde og foreninger omfattet af fondsbeskatningsloven foreslås ikke omfattet af lagerbeskatningen, men </w:t>
      </w:r>
      <w:r w:rsidR="00314FDD" w:rsidRPr="00815B3E">
        <w:rPr>
          <w:rFonts w:eastAsia="Calibri" w:cs="Times New Roman"/>
          <w:color w:val="000000" w:themeColor="text1"/>
          <w:szCs w:val="24"/>
        </w:rPr>
        <w:t>fonde</w:t>
      </w:r>
      <w:r w:rsidR="00DF0D56" w:rsidRPr="00815B3E">
        <w:rPr>
          <w:rFonts w:eastAsia="Calibri" w:cs="Times New Roman"/>
          <w:color w:val="000000" w:themeColor="text1"/>
          <w:szCs w:val="24"/>
        </w:rPr>
        <w:t>s og</w:t>
      </w:r>
      <w:r w:rsidR="00314FDD" w:rsidRPr="00815B3E">
        <w:rPr>
          <w:rFonts w:eastAsia="Calibri" w:cs="Times New Roman"/>
          <w:color w:val="000000" w:themeColor="text1"/>
          <w:szCs w:val="24"/>
        </w:rPr>
        <w:t xml:space="preserve"> foreninger</w:t>
      </w:r>
      <w:r w:rsidR="00975E0B" w:rsidRPr="00815B3E">
        <w:rPr>
          <w:rFonts w:eastAsia="Calibri" w:cs="Times New Roman"/>
          <w:color w:val="000000" w:themeColor="text1"/>
          <w:szCs w:val="24"/>
        </w:rPr>
        <w:t xml:space="preserve">s datterselskaber, der omfattes af selskabsskatteloven, </w:t>
      </w:r>
      <w:r w:rsidR="00DF0D56" w:rsidRPr="00815B3E">
        <w:rPr>
          <w:rFonts w:eastAsia="Calibri" w:cs="Times New Roman"/>
          <w:color w:val="000000" w:themeColor="text1"/>
          <w:szCs w:val="24"/>
        </w:rPr>
        <w:t xml:space="preserve">foreslås </w:t>
      </w:r>
      <w:r w:rsidR="00975E0B" w:rsidRPr="00815B3E">
        <w:rPr>
          <w:rFonts w:eastAsia="Calibri" w:cs="Times New Roman"/>
          <w:color w:val="000000" w:themeColor="text1"/>
          <w:szCs w:val="24"/>
        </w:rPr>
        <w:t xml:space="preserve">derimod </w:t>
      </w:r>
      <w:r w:rsidR="00314FDD" w:rsidRPr="00815B3E">
        <w:rPr>
          <w:rFonts w:eastAsia="Calibri" w:cs="Times New Roman"/>
          <w:color w:val="000000" w:themeColor="text1"/>
          <w:szCs w:val="24"/>
        </w:rPr>
        <w:t>omfattet</w:t>
      </w:r>
      <w:r w:rsidR="00DF0D56" w:rsidRPr="00815B3E">
        <w:rPr>
          <w:rFonts w:eastAsia="Calibri" w:cs="Times New Roman"/>
          <w:color w:val="000000" w:themeColor="text1"/>
          <w:szCs w:val="24"/>
        </w:rPr>
        <w:t xml:space="preserve"> af lagerbeskatningen</w:t>
      </w:r>
      <w:r w:rsidR="00314FDD" w:rsidRPr="00815B3E">
        <w:rPr>
          <w:rFonts w:eastAsia="Calibri" w:cs="Times New Roman"/>
          <w:color w:val="000000" w:themeColor="text1"/>
          <w:szCs w:val="24"/>
        </w:rPr>
        <w:t>.</w:t>
      </w:r>
    </w:p>
    <w:p w14:paraId="31C94AEE" w14:textId="7C65B687" w:rsidR="009D74A4" w:rsidRPr="00815B3E" w:rsidRDefault="00671262" w:rsidP="009D74A4">
      <w:pPr>
        <w:spacing w:after="240"/>
        <w:rPr>
          <w:rFonts w:eastAsia="Calibri" w:cs="Times New Roman"/>
          <w:color w:val="000000" w:themeColor="text1"/>
          <w:szCs w:val="24"/>
        </w:rPr>
      </w:pPr>
      <w:r w:rsidRPr="00815B3E">
        <w:rPr>
          <w:rFonts w:eastAsia="Calibri" w:cs="Times New Roman"/>
          <w:color w:val="000000" w:themeColor="text1"/>
          <w:szCs w:val="24"/>
        </w:rPr>
        <w:t>L</w:t>
      </w:r>
      <w:r w:rsidR="00975E0B" w:rsidRPr="00815B3E">
        <w:rPr>
          <w:rFonts w:eastAsia="Calibri" w:cs="Times New Roman"/>
          <w:color w:val="000000" w:themeColor="text1"/>
          <w:szCs w:val="24"/>
        </w:rPr>
        <w:t>agerbeskatning</w:t>
      </w:r>
      <w:r w:rsidRPr="00815B3E">
        <w:rPr>
          <w:rFonts w:eastAsia="Calibri" w:cs="Times New Roman"/>
          <w:color w:val="000000" w:themeColor="text1"/>
          <w:szCs w:val="24"/>
        </w:rPr>
        <w:t>en</w:t>
      </w:r>
      <w:r w:rsidR="00975E0B" w:rsidRPr="00815B3E">
        <w:rPr>
          <w:rFonts w:eastAsia="Calibri" w:cs="Times New Roman"/>
          <w:color w:val="000000" w:themeColor="text1"/>
          <w:szCs w:val="24"/>
        </w:rPr>
        <w:t xml:space="preserve"> </w:t>
      </w:r>
      <w:r w:rsidR="009D74A4" w:rsidRPr="00815B3E">
        <w:rPr>
          <w:rFonts w:eastAsia="Calibri" w:cs="Times New Roman"/>
          <w:color w:val="000000" w:themeColor="text1"/>
          <w:szCs w:val="24"/>
        </w:rPr>
        <w:t xml:space="preserve">foreslås </w:t>
      </w:r>
      <w:r w:rsidRPr="00815B3E">
        <w:rPr>
          <w:rFonts w:eastAsia="Calibri" w:cs="Times New Roman"/>
          <w:color w:val="000000" w:themeColor="text1"/>
          <w:szCs w:val="24"/>
        </w:rPr>
        <w:t xml:space="preserve">af administrative årsager </w:t>
      </w:r>
      <w:r w:rsidR="009D74A4" w:rsidRPr="00815B3E">
        <w:rPr>
          <w:rFonts w:eastAsia="Calibri" w:cs="Times New Roman"/>
          <w:color w:val="000000" w:themeColor="text1"/>
          <w:szCs w:val="24"/>
        </w:rPr>
        <w:t>kun at skulle gælde for</w:t>
      </w:r>
      <w:r w:rsidR="00DF0D56" w:rsidRPr="00815B3E">
        <w:rPr>
          <w:rFonts w:eastAsia="Calibri" w:cs="Times New Roman"/>
          <w:color w:val="000000" w:themeColor="text1"/>
          <w:szCs w:val="24"/>
        </w:rPr>
        <w:t xml:space="preserve"> selskaber og</w:t>
      </w:r>
      <w:r w:rsidR="00975E0B" w:rsidRPr="00815B3E">
        <w:rPr>
          <w:rFonts w:eastAsia="Calibri" w:cs="Times New Roman"/>
          <w:color w:val="000000" w:themeColor="text1"/>
          <w:szCs w:val="24"/>
        </w:rPr>
        <w:t xml:space="preserve"> koncerner med</w:t>
      </w:r>
      <w:r w:rsidR="009D74A4" w:rsidRPr="00815B3E">
        <w:rPr>
          <w:rFonts w:eastAsia="Calibri" w:cs="Times New Roman"/>
          <w:color w:val="000000" w:themeColor="text1"/>
          <w:szCs w:val="24"/>
        </w:rPr>
        <w:t xml:space="preserve"> større </w:t>
      </w:r>
      <w:r w:rsidR="00314FDD" w:rsidRPr="00815B3E">
        <w:rPr>
          <w:rFonts w:eastAsia="Calibri" w:cs="Times New Roman"/>
          <w:color w:val="000000" w:themeColor="text1"/>
          <w:szCs w:val="24"/>
        </w:rPr>
        <w:t>ejendomsporteføljer</w:t>
      </w:r>
      <w:r w:rsidR="009D74A4" w:rsidRPr="00815B3E">
        <w:rPr>
          <w:rFonts w:eastAsia="Calibri" w:cs="Times New Roman"/>
          <w:color w:val="000000" w:themeColor="text1"/>
          <w:szCs w:val="24"/>
        </w:rPr>
        <w:t>. De</w:t>
      </w:r>
      <w:r w:rsidRPr="00815B3E">
        <w:rPr>
          <w:rFonts w:eastAsia="Calibri" w:cs="Times New Roman"/>
          <w:color w:val="000000" w:themeColor="text1"/>
          <w:szCs w:val="24"/>
        </w:rPr>
        <w:t xml:space="preserve">r </w:t>
      </w:r>
      <w:r w:rsidR="00270DE5">
        <w:rPr>
          <w:rFonts w:eastAsia="Calibri" w:cs="Times New Roman"/>
          <w:color w:val="000000" w:themeColor="text1"/>
          <w:szCs w:val="24"/>
        </w:rPr>
        <w:t>foreslås</w:t>
      </w:r>
      <w:r w:rsidR="009D74A4" w:rsidRPr="00815B3E">
        <w:rPr>
          <w:rFonts w:eastAsia="Calibri" w:cs="Times New Roman"/>
          <w:color w:val="000000" w:themeColor="text1"/>
          <w:szCs w:val="24"/>
        </w:rPr>
        <w:t xml:space="preserve"> </w:t>
      </w:r>
      <w:r w:rsidRPr="00815B3E">
        <w:rPr>
          <w:rFonts w:eastAsia="Calibri" w:cs="Times New Roman"/>
          <w:color w:val="000000" w:themeColor="text1"/>
          <w:szCs w:val="24"/>
        </w:rPr>
        <w:t>således</w:t>
      </w:r>
      <w:r w:rsidR="00270DE5">
        <w:rPr>
          <w:rFonts w:eastAsia="Calibri" w:cs="Times New Roman"/>
          <w:color w:val="000000" w:themeColor="text1"/>
          <w:szCs w:val="24"/>
        </w:rPr>
        <w:t xml:space="preserve"> indført</w:t>
      </w:r>
      <w:r w:rsidRPr="00815B3E">
        <w:rPr>
          <w:rFonts w:eastAsia="Calibri" w:cs="Times New Roman"/>
          <w:color w:val="000000" w:themeColor="text1"/>
          <w:szCs w:val="24"/>
        </w:rPr>
        <w:t xml:space="preserve"> </w:t>
      </w:r>
      <w:r w:rsidR="009D74A4" w:rsidRPr="00815B3E">
        <w:rPr>
          <w:rFonts w:eastAsia="Calibri" w:cs="Times New Roman"/>
          <w:color w:val="000000" w:themeColor="text1"/>
          <w:szCs w:val="24"/>
        </w:rPr>
        <w:t xml:space="preserve">en </w:t>
      </w:r>
      <w:r w:rsidR="00EC5037" w:rsidRPr="00815B3E">
        <w:rPr>
          <w:rFonts w:eastAsia="Calibri" w:cs="Times New Roman"/>
          <w:color w:val="000000" w:themeColor="text1"/>
          <w:szCs w:val="24"/>
        </w:rPr>
        <w:t xml:space="preserve">beløbsmæssig </w:t>
      </w:r>
      <w:r w:rsidR="009D74A4" w:rsidRPr="00815B3E">
        <w:rPr>
          <w:rFonts w:eastAsia="Calibri" w:cs="Times New Roman"/>
          <w:color w:val="000000" w:themeColor="text1"/>
          <w:szCs w:val="24"/>
        </w:rPr>
        <w:t>grænse</w:t>
      </w:r>
      <w:r w:rsidR="00EC5037" w:rsidRPr="00815B3E">
        <w:rPr>
          <w:rFonts w:eastAsia="Calibri" w:cs="Times New Roman"/>
          <w:color w:val="000000" w:themeColor="text1"/>
          <w:szCs w:val="24"/>
        </w:rPr>
        <w:t xml:space="preserve"> på 100 mio. kr.</w:t>
      </w:r>
      <w:r w:rsidR="009D74A4" w:rsidRPr="00815B3E">
        <w:rPr>
          <w:rFonts w:eastAsia="Calibri" w:cs="Times New Roman"/>
          <w:color w:val="000000" w:themeColor="text1"/>
          <w:szCs w:val="24"/>
        </w:rPr>
        <w:t xml:space="preserve"> for, hvornår </w:t>
      </w:r>
      <w:r w:rsidR="00EC5037" w:rsidRPr="00815B3E">
        <w:rPr>
          <w:rFonts w:eastAsia="Calibri" w:cs="Times New Roman"/>
          <w:color w:val="000000" w:themeColor="text1"/>
          <w:szCs w:val="24"/>
        </w:rPr>
        <w:t>en koncerns</w:t>
      </w:r>
      <w:r w:rsidR="009D74A4" w:rsidRPr="00815B3E">
        <w:rPr>
          <w:rFonts w:eastAsia="Calibri" w:cs="Times New Roman"/>
          <w:color w:val="000000" w:themeColor="text1"/>
          <w:szCs w:val="24"/>
        </w:rPr>
        <w:t xml:space="preserve"> faste ejendom</w:t>
      </w:r>
      <w:r w:rsidR="00EC5037" w:rsidRPr="00815B3E">
        <w:rPr>
          <w:rFonts w:eastAsia="Calibri" w:cs="Times New Roman"/>
          <w:color w:val="000000" w:themeColor="text1"/>
          <w:szCs w:val="24"/>
        </w:rPr>
        <w:t>me</w:t>
      </w:r>
      <w:r w:rsidR="009D74A4" w:rsidRPr="00815B3E">
        <w:rPr>
          <w:rFonts w:eastAsia="Calibri" w:cs="Times New Roman"/>
          <w:color w:val="000000" w:themeColor="text1"/>
          <w:szCs w:val="24"/>
        </w:rPr>
        <w:t xml:space="preserve"> er omfattet af lagerbeskatningen. Grænsen foreslås at gælde for selskaber, der </w:t>
      </w:r>
      <w:r w:rsidR="00314FDD" w:rsidRPr="00815B3E">
        <w:rPr>
          <w:rFonts w:eastAsia="Calibri" w:cs="Times New Roman"/>
          <w:color w:val="000000" w:themeColor="text1"/>
          <w:szCs w:val="24"/>
        </w:rPr>
        <w:t>i et interessefællesskab</w:t>
      </w:r>
      <w:r w:rsidR="00EA2434">
        <w:rPr>
          <w:rFonts w:eastAsia="Calibri" w:cs="Times New Roman"/>
          <w:color w:val="000000" w:themeColor="text1"/>
          <w:szCs w:val="24"/>
        </w:rPr>
        <w:t>, jf. ligningslovens § 2,</w:t>
      </w:r>
      <w:r w:rsidR="009D74A4" w:rsidRPr="00815B3E">
        <w:rPr>
          <w:rFonts w:eastAsia="Calibri" w:cs="Times New Roman"/>
          <w:color w:val="000000" w:themeColor="text1"/>
          <w:szCs w:val="24"/>
        </w:rPr>
        <w:t xml:space="preserve"> samlet set ejer </w:t>
      </w:r>
      <w:r w:rsidR="00EC5037" w:rsidRPr="00815B3E">
        <w:rPr>
          <w:rFonts w:eastAsia="Calibri" w:cs="Times New Roman"/>
          <w:color w:val="000000" w:themeColor="text1"/>
          <w:szCs w:val="24"/>
        </w:rPr>
        <w:t>udlejnings</w:t>
      </w:r>
      <w:r w:rsidR="009D74A4" w:rsidRPr="00815B3E">
        <w:rPr>
          <w:rFonts w:eastAsia="Calibri" w:cs="Times New Roman"/>
          <w:color w:val="000000" w:themeColor="text1"/>
          <w:szCs w:val="24"/>
        </w:rPr>
        <w:t xml:space="preserve">ejendomme, der overstiger en handelsværdi på </w:t>
      </w:r>
      <w:r w:rsidR="00314FDD" w:rsidRPr="00815B3E">
        <w:rPr>
          <w:rFonts w:eastAsia="Calibri" w:cs="Times New Roman"/>
          <w:color w:val="000000" w:themeColor="text1"/>
          <w:szCs w:val="24"/>
        </w:rPr>
        <w:t>100</w:t>
      </w:r>
      <w:r w:rsidR="009D74A4" w:rsidRPr="00815B3E">
        <w:rPr>
          <w:rFonts w:eastAsia="Calibri" w:cs="Times New Roman"/>
          <w:color w:val="000000" w:themeColor="text1"/>
          <w:szCs w:val="24"/>
        </w:rPr>
        <w:t xml:space="preserve"> mio. kr.</w:t>
      </w:r>
    </w:p>
    <w:p w14:paraId="0F8F236B" w14:textId="77777777" w:rsidR="00813769" w:rsidRDefault="009D74A4" w:rsidP="00EC5037">
      <w:pPr>
        <w:spacing w:after="240"/>
        <w:rPr>
          <w:rFonts w:eastAsia="Calibri" w:cs="Times New Roman"/>
          <w:color w:val="000000" w:themeColor="text1"/>
          <w:szCs w:val="24"/>
        </w:rPr>
      </w:pPr>
      <w:r w:rsidRPr="00815B3E">
        <w:rPr>
          <w:rFonts w:eastAsia="Calibri" w:cs="Times New Roman"/>
          <w:color w:val="000000" w:themeColor="text1"/>
          <w:szCs w:val="24"/>
        </w:rPr>
        <w:t>Det foreslås</w:t>
      </w:r>
      <w:r w:rsidR="00EF00C6" w:rsidRPr="00815B3E">
        <w:rPr>
          <w:rFonts w:eastAsia="Calibri" w:cs="Times New Roman"/>
          <w:color w:val="000000" w:themeColor="text1"/>
          <w:szCs w:val="24"/>
        </w:rPr>
        <w:t xml:space="preserve"> desuden</w:t>
      </w:r>
      <w:r w:rsidRPr="00815B3E">
        <w:rPr>
          <w:rFonts w:eastAsia="Calibri" w:cs="Times New Roman"/>
          <w:color w:val="000000" w:themeColor="text1"/>
          <w:szCs w:val="24"/>
        </w:rPr>
        <w:t xml:space="preserve">, at </w:t>
      </w:r>
      <w:r w:rsidR="00EC5037" w:rsidRPr="00815B3E">
        <w:rPr>
          <w:rFonts w:eastAsia="Calibri" w:cs="Times New Roman"/>
          <w:color w:val="000000" w:themeColor="text1"/>
          <w:szCs w:val="24"/>
        </w:rPr>
        <w:t xml:space="preserve">lagerbeskatningen </w:t>
      </w:r>
      <w:r w:rsidRPr="00815B3E">
        <w:rPr>
          <w:rFonts w:eastAsia="Calibri" w:cs="Times New Roman"/>
          <w:color w:val="000000" w:themeColor="text1"/>
          <w:szCs w:val="24"/>
        </w:rPr>
        <w:t xml:space="preserve">kun skal omfatte </w:t>
      </w:r>
      <w:r w:rsidR="00D075DF" w:rsidRPr="00815B3E">
        <w:rPr>
          <w:rFonts w:eastAsia="Calibri" w:cs="Times New Roman"/>
          <w:color w:val="000000" w:themeColor="text1"/>
          <w:szCs w:val="24"/>
        </w:rPr>
        <w:t>ejendomme</w:t>
      </w:r>
      <w:r w:rsidR="00B04832" w:rsidRPr="00815B3E">
        <w:rPr>
          <w:rFonts w:eastAsia="Calibri" w:cs="Times New Roman"/>
          <w:color w:val="000000" w:themeColor="text1"/>
          <w:szCs w:val="24"/>
        </w:rPr>
        <w:t>,</w:t>
      </w:r>
      <w:r w:rsidR="00D075DF" w:rsidRPr="00815B3E">
        <w:rPr>
          <w:rFonts w:eastAsia="Calibri" w:cs="Times New Roman"/>
          <w:color w:val="000000" w:themeColor="text1"/>
          <w:szCs w:val="24"/>
        </w:rPr>
        <w:t xml:space="preserve"> der </w:t>
      </w:r>
      <w:r w:rsidR="00EC5037" w:rsidRPr="00815B3E">
        <w:rPr>
          <w:rFonts w:eastAsia="Calibri" w:cs="Times New Roman"/>
          <w:color w:val="000000" w:themeColor="text1"/>
          <w:szCs w:val="24"/>
        </w:rPr>
        <w:t xml:space="preserve">udlejes </w:t>
      </w:r>
      <w:r w:rsidR="00D075DF" w:rsidRPr="00815B3E">
        <w:rPr>
          <w:rFonts w:eastAsia="Calibri" w:cs="Times New Roman"/>
          <w:color w:val="000000" w:themeColor="text1"/>
          <w:szCs w:val="24"/>
        </w:rPr>
        <w:t>i overvejende omfang</w:t>
      </w:r>
      <w:r w:rsidR="00804646" w:rsidRPr="00815B3E">
        <w:rPr>
          <w:rFonts w:eastAsia="Calibri" w:cs="Times New Roman"/>
          <w:color w:val="000000" w:themeColor="text1"/>
          <w:szCs w:val="24"/>
        </w:rPr>
        <w:t>, dvs. mere end 50 pct</w:t>
      </w:r>
      <w:r w:rsidR="00DF0D56" w:rsidRPr="00815B3E">
        <w:rPr>
          <w:rFonts w:eastAsia="Calibri" w:cs="Times New Roman"/>
          <w:color w:val="000000" w:themeColor="text1"/>
          <w:szCs w:val="24"/>
        </w:rPr>
        <w:t xml:space="preserve">. </w:t>
      </w:r>
      <w:r w:rsidR="00EF00C6" w:rsidRPr="00815B3E">
        <w:rPr>
          <w:rFonts w:eastAsia="Calibri" w:cs="Times New Roman"/>
          <w:color w:val="000000" w:themeColor="text1"/>
          <w:szCs w:val="24"/>
        </w:rPr>
        <w:t>I overensstemmelse med aftalen vil e</w:t>
      </w:r>
      <w:r w:rsidRPr="00815B3E">
        <w:rPr>
          <w:rFonts w:eastAsia="Calibri" w:cs="Times New Roman"/>
          <w:color w:val="000000" w:themeColor="text1"/>
          <w:szCs w:val="24"/>
        </w:rPr>
        <w:t xml:space="preserve">jendomme, der anvendes i egen drift, </w:t>
      </w:r>
      <w:r w:rsidR="00DF0D56" w:rsidRPr="00815B3E">
        <w:rPr>
          <w:rFonts w:eastAsia="Calibri" w:cs="Times New Roman"/>
          <w:color w:val="000000" w:themeColor="text1"/>
          <w:szCs w:val="24"/>
        </w:rPr>
        <w:t>ikke</w:t>
      </w:r>
      <w:r w:rsidRPr="00815B3E">
        <w:rPr>
          <w:rFonts w:eastAsia="Calibri" w:cs="Times New Roman"/>
          <w:color w:val="000000" w:themeColor="text1"/>
          <w:szCs w:val="24"/>
        </w:rPr>
        <w:t xml:space="preserve"> skulle lagerbeskattes.</w:t>
      </w:r>
      <w:r w:rsidR="00D075DF" w:rsidRPr="00815B3E">
        <w:rPr>
          <w:rFonts w:eastAsia="Calibri" w:cs="Times New Roman"/>
          <w:color w:val="000000" w:themeColor="text1"/>
          <w:szCs w:val="24"/>
        </w:rPr>
        <w:t xml:space="preserve"> </w:t>
      </w:r>
      <w:r w:rsidR="00EC5037" w:rsidRPr="00815B3E">
        <w:rPr>
          <w:rFonts w:eastAsia="Calibri" w:cs="Times New Roman"/>
          <w:color w:val="000000" w:themeColor="text1"/>
          <w:szCs w:val="24"/>
        </w:rPr>
        <w:t>Selskabers egne ejendomme, der anvendes i produktionen</w:t>
      </w:r>
      <w:r w:rsidR="00930EC3">
        <w:rPr>
          <w:rFonts w:eastAsia="Calibri" w:cs="Times New Roman"/>
          <w:color w:val="000000" w:themeColor="text1"/>
          <w:szCs w:val="24"/>
        </w:rPr>
        <w:t>, herunder til administration</w:t>
      </w:r>
      <w:r w:rsidR="00EC5037" w:rsidRPr="00815B3E">
        <w:rPr>
          <w:rFonts w:eastAsia="Calibri" w:cs="Times New Roman"/>
          <w:color w:val="000000" w:themeColor="text1"/>
          <w:szCs w:val="24"/>
        </w:rPr>
        <w:t xml:space="preserve"> eller lager, og landbrugets ejendomme, der anvendes i </w:t>
      </w:r>
      <w:r w:rsidR="00EC5037" w:rsidRPr="00815B3E">
        <w:rPr>
          <w:rFonts w:eastAsia="Calibri" w:cs="Times New Roman"/>
          <w:color w:val="000000" w:themeColor="text1"/>
          <w:szCs w:val="24"/>
        </w:rPr>
        <w:lastRenderedPageBreak/>
        <w:t xml:space="preserve">landbrugets egen drift, vil således ikke blive omfattet af den foreslåede lagerbeskatning. </w:t>
      </w:r>
    </w:p>
    <w:p w14:paraId="421497A1" w14:textId="014E73CD" w:rsidR="00EC5037" w:rsidRPr="00815B3E" w:rsidRDefault="00813769" w:rsidP="00EC5037">
      <w:pPr>
        <w:spacing w:after="240"/>
        <w:rPr>
          <w:rFonts w:eastAsia="Calibri" w:cs="Times New Roman"/>
          <w:color w:val="000000" w:themeColor="text1"/>
          <w:szCs w:val="24"/>
        </w:rPr>
      </w:pPr>
      <w:r w:rsidRPr="00815B3E">
        <w:rPr>
          <w:rFonts w:eastAsia="Calibri" w:cs="Times New Roman"/>
          <w:color w:val="000000" w:themeColor="text1"/>
          <w:szCs w:val="24"/>
        </w:rPr>
        <w:t xml:space="preserve">Det foreslås også, at </w:t>
      </w:r>
      <w:r>
        <w:rPr>
          <w:rFonts w:eastAsia="Calibri" w:cs="Times New Roman"/>
          <w:color w:val="000000" w:themeColor="text1"/>
          <w:szCs w:val="24"/>
        </w:rPr>
        <w:t>u</w:t>
      </w:r>
      <w:r>
        <w:rPr>
          <w:rFonts w:eastAsia="Calibri" w:cs="Times New Roman"/>
          <w:bCs/>
          <w:color w:val="000000" w:themeColor="text1"/>
          <w:szCs w:val="24"/>
        </w:rPr>
        <w:t xml:space="preserve">dlejning fra foreninger m.v. ikke skal anses for udlejning efter denne bestemmelse, hvis lejeindtægten ikke anses som indvundet ved erhvervsmæssig virksomhed. Dette medfører bl.a., at andelsforeninger, som er omfattet af den særlige foreningsbeskatning, hvor foreningen kun beskattes af erhvervsmæssig indkomst, ikke vil være omfattet af regelsættet. </w:t>
      </w:r>
      <w:r w:rsidR="00EC5037" w:rsidRPr="00815B3E">
        <w:rPr>
          <w:rFonts w:eastAsia="Calibri" w:cs="Times New Roman"/>
          <w:color w:val="000000" w:themeColor="text1"/>
          <w:szCs w:val="24"/>
        </w:rPr>
        <w:t xml:space="preserve"> </w:t>
      </w:r>
    </w:p>
    <w:p w14:paraId="157C667D" w14:textId="4845240F" w:rsidR="009D74A4" w:rsidRPr="00815B3E" w:rsidRDefault="00804646" w:rsidP="009D74A4">
      <w:pPr>
        <w:spacing w:after="240"/>
        <w:rPr>
          <w:rFonts w:eastAsia="Calibri" w:cs="Times New Roman"/>
          <w:color w:val="000000" w:themeColor="text1"/>
          <w:szCs w:val="24"/>
        </w:rPr>
      </w:pPr>
      <w:bookmarkStart w:id="145" w:name="_Hlk107567648"/>
      <w:r w:rsidRPr="00815B3E">
        <w:rPr>
          <w:rFonts w:eastAsia="Calibri" w:cs="Times New Roman"/>
          <w:color w:val="000000" w:themeColor="text1"/>
          <w:szCs w:val="24"/>
        </w:rPr>
        <w:t>Ejendomme</w:t>
      </w:r>
      <w:r w:rsidR="00EC5037" w:rsidRPr="00815B3E">
        <w:rPr>
          <w:rFonts w:eastAsia="Calibri" w:cs="Times New Roman"/>
          <w:color w:val="000000" w:themeColor="text1"/>
          <w:szCs w:val="24"/>
        </w:rPr>
        <w:t xml:space="preserve">, der hverken udlejes eller anvendes i egen drift, </w:t>
      </w:r>
      <w:r w:rsidRPr="00815B3E">
        <w:rPr>
          <w:rFonts w:eastAsia="Calibri" w:cs="Times New Roman"/>
          <w:color w:val="000000" w:themeColor="text1"/>
          <w:szCs w:val="24"/>
        </w:rPr>
        <w:t xml:space="preserve">såsom byggegrunde og udviklingsejendomme, </w:t>
      </w:r>
      <w:r w:rsidR="00EC5037" w:rsidRPr="00815B3E">
        <w:rPr>
          <w:rFonts w:eastAsia="Calibri" w:cs="Times New Roman"/>
          <w:color w:val="000000" w:themeColor="text1"/>
          <w:szCs w:val="24"/>
        </w:rPr>
        <w:t>vil efter forslaget</w:t>
      </w:r>
      <w:r w:rsidR="00D075DF" w:rsidRPr="00815B3E">
        <w:rPr>
          <w:rFonts w:eastAsia="Calibri" w:cs="Times New Roman"/>
          <w:color w:val="000000" w:themeColor="text1"/>
          <w:szCs w:val="24"/>
        </w:rPr>
        <w:t xml:space="preserve"> ikke </w:t>
      </w:r>
      <w:r w:rsidR="00EC5037" w:rsidRPr="00815B3E">
        <w:rPr>
          <w:rFonts w:eastAsia="Calibri" w:cs="Times New Roman"/>
          <w:color w:val="000000" w:themeColor="text1"/>
          <w:szCs w:val="24"/>
        </w:rPr>
        <w:t xml:space="preserve">blive omfattet af lagerbeskatningen før det tidspunkt, hvor de udlejes </w:t>
      </w:r>
      <w:r w:rsidR="00D075DF" w:rsidRPr="00815B3E">
        <w:rPr>
          <w:rFonts w:eastAsia="Calibri" w:cs="Times New Roman"/>
          <w:color w:val="000000" w:themeColor="text1"/>
          <w:szCs w:val="24"/>
        </w:rPr>
        <w:t xml:space="preserve">i overvejende </w:t>
      </w:r>
      <w:r w:rsidR="00DF0D56" w:rsidRPr="00815B3E">
        <w:rPr>
          <w:rFonts w:eastAsia="Calibri" w:cs="Times New Roman"/>
          <w:color w:val="000000" w:themeColor="text1"/>
          <w:szCs w:val="24"/>
        </w:rPr>
        <w:t>omfang</w:t>
      </w:r>
      <w:r w:rsidR="00D075DF" w:rsidRPr="00815B3E">
        <w:rPr>
          <w:rFonts w:eastAsia="Calibri" w:cs="Times New Roman"/>
          <w:color w:val="000000" w:themeColor="text1"/>
          <w:szCs w:val="24"/>
        </w:rPr>
        <w:t>.</w:t>
      </w:r>
      <w:r w:rsidR="009D74A4" w:rsidRPr="00815B3E">
        <w:rPr>
          <w:rFonts w:eastAsia="Calibri" w:cs="Times New Roman"/>
          <w:color w:val="000000" w:themeColor="text1"/>
          <w:szCs w:val="24"/>
        </w:rPr>
        <w:t xml:space="preserve"> </w:t>
      </w:r>
    </w:p>
    <w:bookmarkEnd w:id="145"/>
    <w:p w14:paraId="60747AB6" w14:textId="3192976A" w:rsidR="009D74A4" w:rsidRPr="00815B3E" w:rsidRDefault="00DE7D1A" w:rsidP="009D74A4">
      <w:pPr>
        <w:spacing w:after="240"/>
        <w:rPr>
          <w:rFonts w:eastAsia="Calibri" w:cs="Times New Roman"/>
          <w:color w:val="000000" w:themeColor="text1"/>
          <w:szCs w:val="24"/>
        </w:rPr>
      </w:pPr>
      <w:r w:rsidRPr="00815B3E">
        <w:rPr>
          <w:rFonts w:eastAsia="Calibri" w:cs="Times New Roman"/>
          <w:color w:val="000000" w:themeColor="text1"/>
          <w:szCs w:val="24"/>
        </w:rPr>
        <w:t>Det foreslås</w:t>
      </w:r>
      <w:r w:rsidR="009D74A4" w:rsidRPr="00815B3E">
        <w:rPr>
          <w:rFonts w:eastAsia="Calibri" w:cs="Times New Roman"/>
          <w:color w:val="000000" w:themeColor="text1"/>
          <w:szCs w:val="24"/>
        </w:rPr>
        <w:t>, at når en fast ejendom er omfattet af de</w:t>
      </w:r>
      <w:r w:rsidR="00DF0D56" w:rsidRPr="00815B3E">
        <w:rPr>
          <w:rFonts w:eastAsia="Calibri" w:cs="Times New Roman"/>
          <w:color w:val="000000" w:themeColor="text1"/>
          <w:szCs w:val="24"/>
        </w:rPr>
        <w:t>n</w:t>
      </w:r>
      <w:r w:rsidR="009D74A4" w:rsidRPr="00815B3E">
        <w:rPr>
          <w:rFonts w:eastAsia="Calibri" w:cs="Times New Roman"/>
          <w:color w:val="000000" w:themeColor="text1"/>
          <w:szCs w:val="24"/>
        </w:rPr>
        <w:t xml:space="preserve"> foreslåede lagerbeskatning, så fortsætter den faste ejendom med at være omfattet</w:t>
      </w:r>
      <w:r w:rsidRPr="00815B3E">
        <w:rPr>
          <w:rFonts w:eastAsia="Calibri" w:cs="Times New Roman"/>
          <w:color w:val="000000" w:themeColor="text1"/>
          <w:szCs w:val="24"/>
        </w:rPr>
        <w:t>, så længe den skattepligtige ejer ejendommen</w:t>
      </w:r>
      <w:r w:rsidR="009D74A4" w:rsidRPr="00815B3E">
        <w:rPr>
          <w:rFonts w:eastAsia="Calibri" w:cs="Times New Roman"/>
          <w:color w:val="000000" w:themeColor="text1"/>
          <w:szCs w:val="24"/>
        </w:rPr>
        <w:t>. Det vil</w:t>
      </w:r>
      <w:r w:rsidRPr="00815B3E">
        <w:rPr>
          <w:rFonts w:eastAsia="Calibri" w:cs="Times New Roman"/>
          <w:color w:val="000000" w:themeColor="text1"/>
          <w:szCs w:val="24"/>
        </w:rPr>
        <w:t>le</w:t>
      </w:r>
      <w:r w:rsidR="009D74A4" w:rsidRPr="00815B3E">
        <w:rPr>
          <w:rFonts w:eastAsia="Calibri" w:cs="Times New Roman"/>
          <w:color w:val="000000" w:themeColor="text1"/>
          <w:szCs w:val="24"/>
        </w:rPr>
        <w:t xml:space="preserve"> være </w:t>
      </w:r>
      <w:r w:rsidR="00D075DF" w:rsidRPr="00815B3E">
        <w:rPr>
          <w:rFonts w:eastAsia="Calibri" w:cs="Times New Roman"/>
          <w:color w:val="000000" w:themeColor="text1"/>
          <w:szCs w:val="24"/>
        </w:rPr>
        <w:t>en administrativ byrde for virksomheder</w:t>
      </w:r>
      <w:r w:rsidRPr="00815B3E">
        <w:rPr>
          <w:rFonts w:eastAsia="Calibri" w:cs="Times New Roman"/>
          <w:color w:val="000000" w:themeColor="text1"/>
          <w:szCs w:val="24"/>
        </w:rPr>
        <w:t>ne</w:t>
      </w:r>
      <w:r w:rsidR="00D075DF" w:rsidRPr="00815B3E">
        <w:rPr>
          <w:rFonts w:eastAsia="Calibri" w:cs="Times New Roman"/>
          <w:color w:val="000000" w:themeColor="text1"/>
          <w:szCs w:val="24"/>
        </w:rPr>
        <w:t xml:space="preserve"> og </w:t>
      </w:r>
      <w:r w:rsidR="00B04832" w:rsidRPr="00815B3E">
        <w:rPr>
          <w:rFonts w:eastAsia="Calibri" w:cs="Times New Roman"/>
          <w:color w:val="000000" w:themeColor="text1"/>
          <w:szCs w:val="24"/>
        </w:rPr>
        <w:t>skattemyndighederne</w:t>
      </w:r>
      <w:r w:rsidR="009D74A4" w:rsidRPr="00815B3E">
        <w:rPr>
          <w:rFonts w:eastAsia="Calibri" w:cs="Times New Roman"/>
          <w:color w:val="000000" w:themeColor="text1"/>
          <w:szCs w:val="24"/>
        </w:rPr>
        <w:t xml:space="preserve">, hvis en fast ejendom løbende </w:t>
      </w:r>
      <w:r w:rsidRPr="00815B3E">
        <w:rPr>
          <w:rFonts w:eastAsia="Calibri" w:cs="Times New Roman"/>
          <w:color w:val="000000" w:themeColor="text1"/>
          <w:szCs w:val="24"/>
        </w:rPr>
        <w:t xml:space="preserve">skulle skifte mellem </w:t>
      </w:r>
      <w:r w:rsidR="009D74A4" w:rsidRPr="00815B3E">
        <w:rPr>
          <w:rFonts w:eastAsia="Calibri" w:cs="Times New Roman"/>
          <w:color w:val="000000" w:themeColor="text1"/>
          <w:szCs w:val="24"/>
        </w:rPr>
        <w:t>realisations</w:t>
      </w:r>
      <w:r w:rsidR="00D075DF" w:rsidRPr="00815B3E">
        <w:rPr>
          <w:rFonts w:eastAsia="Calibri" w:cs="Times New Roman"/>
          <w:color w:val="000000" w:themeColor="text1"/>
          <w:szCs w:val="24"/>
        </w:rPr>
        <w:t>beskatning</w:t>
      </w:r>
      <w:r w:rsidRPr="00815B3E">
        <w:rPr>
          <w:rFonts w:eastAsia="Calibri" w:cs="Times New Roman"/>
          <w:color w:val="000000" w:themeColor="text1"/>
          <w:szCs w:val="24"/>
        </w:rPr>
        <w:t xml:space="preserve"> og</w:t>
      </w:r>
      <w:r w:rsidR="009D74A4" w:rsidRPr="00815B3E">
        <w:rPr>
          <w:rFonts w:eastAsia="Calibri" w:cs="Times New Roman"/>
          <w:color w:val="000000" w:themeColor="text1"/>
          <w:szCs w:val="24"/>
        </w:rPr>
        <w:t xml:space="preserve"> lager</w:t>
      </w:r>
      <w:r w:rsidR="00D075DF" w:rsidRPr="00815B3E">
        <w:rPr>
          <w:rFonts w:eastAsia="Calibri" w:cs="Times New Roman"/>
          <w:color w:val="000000" w:themeColor="text1"/>
          <w:szCs w:val="24"/>
        </w:rPr>
        <w:t>beskatning</w:t>
      </w:r>
      <w:r w:rsidRPr="00815B3E">
        <w:rPr>
          <w:rFonts w:eastAsia="Calibri" w:cs="Times New Roman"/>
          <w:color w:val="000000" w:themeColor="text1"/>
          <w:szCs w:val="24"/>
        </w:rPr>
        <w:t>, ligesom en sådan ordning ville øge Skatteforvaltningens kontrolmæssige udfordringer i relation til værdiansættelsen af ejendommene</w:t>
      </w:r>
      <w:r w:rsidR="009D74A4" w:rsidRPr="00815B3E">
        <w:rPr>
          <w:rFonts w:eastAsia="Calibri" w:cs="Times New Roman"/>
          <w:color w:val="000000" w:themeColor="text1"/>
          <w:szCs w:val="24"/>
        </w:rPr>
        <w:t xml:space="preserve">.  </w:t>
      </w:r>
    </w:p>
    <w:p w14:paraId="0B823C4B" w14:textId="1108429F" w:rsidR="00333B7E" w:rsidRPr="00815B3E" w:rsidRDefault="00333B7E" w:rsidP="009D74A4">
      <w:pPr>
        <w:spacing w:after="240"/>
        <w:rPr>
          <w:rFonts w:eastAsia="Calibri" w:cs="Times New Roman"/>
          <w:color w:val="000000" w:themeColor="text1"/>
          <w:szCs w:val="24"/>
        </w:rPr>
      </w:pPr>
      <w:r w:rsidRPr="00815B3E">
        <w:rPr>
          <w:rFonts w:eastAsia="Calibri" w:cs="Times New Roman"/>
          <w:color w:val="000000" w:themeColor="text1"/>
          <w:szCs w:val="24"/>
        </w:rPr>
        <w:t>Den foreslåede lagerbeskatning vil efter forslaget omfatte både nyerhvervede ejendomme og ejendomme, som den skattepligtige allerede ejer på tidspunktet for lovens ikrafttræden. Den foreslåede lagerbeskatning foreslås</w:t>
      </w:r>
      <w:r w:rsidR="00804646" w:rsidRPr="00815B3E">
        <w:rPr>
          <w:rFonts w:eastAsia="Calibri" w:cs="Times New Roman"/>
          <w:color w:val="000000" w:themeColor="text1"/>
          <w:szCs w:val="24"/>
        </w:rPr>
        <w:t xml:space="preserve"> dog alene</w:t>
      </w:r>
      <w:r w:rsidRPr="00815B3E">
        <w:rPr>
          <w:rFonts w:eastAsia="Calibri" w:cs="Times New Roman"/>
          <w:color w:val="000000" w:themeColor="text1"/>
          <w:szCs w:val="24"/>
        </w:rPr>
        <w:t xml:space="preserve"> at gælde med fremadrettet virkning fra 2023.</w:t>
      </w:r>
    </w:p>
    <w:p w14:paraId="184534F6" w14:textId="05831268" w:rsidR="00333B7E" w:rsidRPr="00815B3E" w:rsidRDefault="00333B7E" w:rsidP="009D74A4">
      <w:pPr>
        <w:spacing w:after="240"/>
        <w:rPr>
          <w:rFonts w:eastAsia="Calibri" w:cs="Times New Roman"/>
          <w:color w:val="000000" w:themeColor="text1"/>
          <w:szCs w:val="24"/>
        </w:rPr>
      </w:pPr>
      <w:r w:rsidRPr="00815B3E">
        <w:rPr>
          <w:rFonts w:eastAsia="Calibri" w:cs="Times New Roman"/>
          <w:color w:val="000000" w:themeColor="text1"/>
          <w:szCs w:val="24"/>
        </w:rPr>
        <w:t>De</w:t>
      </w:r>
      <w:r w:rsidR="00930EC3">
        <w:rPr>
          <w:rFonts w:eastAsia="Calibri" w:cs="Times New Roman"/>
          <w:color w:val="000000" w:themeColor="text1"/>
          <w:szCs w:val="24"/>
        </w:rPr>
        <w:t>t</w:t>
      </w:r>
      <w:r w:rsidRPr="00815B3E">
        <w:rPr>
          <w:rFonts w:eastAsia="Calibri" w:cs="Times New Roman"/>
          <w:color w:val="000000" w:themeColor="text1"/>
          <w:szCs w:val="24"/>
        </w:rPr>
        <w:t xml:space="preserve"> indebærer, at et selskabs ejendomme, der hidtil har været omfattet af beskatningen efter realisationsprincippet, </w:t>
      </w:r>
      <w:r w:rsidR="00804646" w:rsidRPr="00815B3E">
        <w:rPr>
          <w:rFonts w:eastAsia="Calibri" w:cs="Times New Roman"/>
          <w:color w:val="000000" w:themeColor="text1"/>
          <w:szCs w:val="24"/>
        </w:rPr>
        <w:t xml:space="preserve">efter forslaget vil </w:t>
      </w:r>
      <w:r w:rsidRPr="00815B3E">
        <w:rPr>
          <w:rFonts w:eastAsia="Calibri" w:cs="Times New Roman"/>
          <w:color w:val="000000" w:themeColor="text1"/>
          <w:szCs w:val="24"/>
        </w:rPr>
        <w:t>overgå til beskatning efter lagerprincippet</w:t>
      </w:r>
      <w:r w:rsidR="008040A4" w:rsidRPr="00815B3E">
        <w:rPr>
          <w:rFonts w:eastAsia="Calibri" w:cs="Times New Roman"/>
          <w:color w:val="000000" w:themeColor="text1"/>
          <w:szCs w:val="24"/>
        </w:rPr>
        <w:t>, hvis betingelserne for lagerbeskatning er opfyldt. For selskaber med kalenderårsregnskab vil overgangen fra realisationsbeskatning til lagerbeskatning efter lovforslaget ske pr. 1. januar 2023.</w:t>
      </w:r>
    </w:p>
    <w:p w14:paraId="78F6A303" w14:textId="4A216B9E" w:rsidR="00633821" w:rsidRPr="00815B3E" w:rsidRDefault="00633821" w:rsidP="00633821">
      <w:pPr>
        <w:spacing w:after="240"/>
        <w:rPr>
          <w:rFonts w:eastAsia="Calibri" w:cs="Times New Roman"/>
          <w:color w:val="000000" w:themeColor="text1"/>
          <w:szCs w:val="24"/>
        </w:rPr>
      </w:pPr>
      <w:r w:rsidRPr="00815B3E">
        <w:rPr>
          <w:rFonts w:eastAsia="Calibri" w:cs="Times New Roman"/>
          <w:color w:val="000000" w:themeColor="text1"/>
          <w:szCs w:val="24"/>
        </w:rPr>
        <w:t xml:space="preserve">Det foreslås, at selskabet i forbindelse med overgangen til lagerbeskatning skal foretage en værdiansættelse af </w:t>
      </w:r>
      <w:r>
        <w:rPr>
          <w:rFonts w:eastAsia="Calibri" w:cs="Times New Roman"/>
          <w:color w:val="000000" w:themeColor="text1"/>
          <w:szCs w:val="24"/>
        </w:rPr>
        <w:t xml:space="preserve">de omfattede </w:t>
      </w:r>
      <w:r w:rsidRPr="00815B3E">
        <w:rPr>
          <w:rFonts w:eastAsia="Calibri" w:cs="Times New Roman"/>
          <w:color w:val="000000" w:themeColor="text1"/>
          <w:szCs w:val="24"/>
        </w:rPr>
        <w:t>ejendommes handelsværdi på overgangstidspunktet (indgangsværdi)</w:t>
      </w:r>
      <w:r>
        <w:rPr>
          <w:rFonts w:eastAsia="Calibri" w:cs="Times New Roman"/>
          <w:color w:val="000000" w:themeColor="text1"/>
          <w:szCs w:val="24"/>
        </w:rPr>
        <w:t>. Herudover foreslås det</w:t>
      </w:r>
      <w:r w:rsidR="00270DE5">
        <w:rPr>
          <w:rFonts w:eastAsia="Calibri" w:cs="Times New Roman"/>
          <w:color w:val="000000" w:themeColor="text1"/>
          <w:szCs w:val="24"/>
        </w:rPr>
        <w:t>,</w:t>
      </w:r>
      <w:r>
        <w:rPr>
          <w:rFonts w:eastAsia="Calibri" w:cs="Times New Roman"/>
          <w:color w:val="000000" w:themeColor="text1"/>
          <w:szCs w:val="24"/>
        </w:rPr>
        <w:t xml:space="preserve"> at selskabet ved overgangen skal udarbejde</w:t>
      </w:r>
      <w:r w:rsidRPr="00815B3E">
        <w:rPr>
          <w:rFonts w:eastAsia="Calibri" w:cs="Times New Roman"/>
          <w:color w:val="000000" w:themeColor="text1"/>
          <w:szCs w:val="24"/>
        </w:rPr>
        <w:t xml:space="preserve"> en avanceopgørelse efter de hidtidige regler om beskatning efter realisationsprincippet</w:t>
      </w:r>
      <w:r>
        <w:rPr>
          <w:rFonts w:eastAsia="Calibri" w:cs="Times New Roman"/>
          <w:color w:val="000000" w:themeColor="text1"/>
          <w:szCs w:val="24"/>
        </w:rPr>
        <w:t>, som om ejendommen var afstået til handelsværdien på tidspunktet for overgangen</w:t>
      </w:r>
      <w:r w:rsidRPr="00815B3E">
        <w:rPr>
          <w:rFonts w:eastAsia="Calibri" w:cs="Times New Roman"/>
          <w:color w:val="000000" w:themeColor="text1"/>
          <w:szCs w:val="24"/>
        </w:rPr>
        <w:t xml:space="preserve">. </w:t>
      </w:r>
    </w:p>
    <w:p w14:paraId="4C6A90A1" w14:textId="0321ABE6" w:rsidR="008040A4" w:rsidRPr="00815B3E" w:rsidRDefault="008040A4" w:rsidP="009D74A4">
      <w:pPr>
        <w:spacing w:after="240"/>
        <w:rPr>
          <w:rFonts w:eastAsia="Calibri" w:cs="Times New Roman"/>
          <w:color w:val="000000" w:themeColor="text1"/>
          <w:szCs w:val="24"/>
        </w:rPr>
      </w:pPr>
      <w:r w:rsidRPr="00815B3E">
        <w:rPr>
          <w:rFonts w:eastAsia="Calibri" w:cs="Times New Roman"/>
          <w:color w:val="000000" w:themeColor="text1"/>
          <w:szCs w:val="24"/>
        </w:rPr>
        <w:t>O</w:t>
      </w:r>
      <w:r w:rsidR="00DF0D56" w:rsidRPr="00815B3E">
        <w:rPr>
          <w:rFonts w:eastAsia="Calibri" w:cs="Times New Roman"/>
          <w:color w:val="000000" w:themeColor="text1"/>
          <w:szCs w:val="24"/>
        </w:rPr>
        <w:t>vergangen fra realisationsbeskatning</w:t>
      </w:r>
      <w:r w:rsidRPr="00815B3E">
        <w:rPr>
          <w:rFonts w:eastAsia="Calibri" w:cs="Times New Roman"/>
          <w:color w:val="000000" w:themeColor="text1"/>
          <w:szCs w:val="24"/>
        </w:rPr>
        <w:t xml:space="preserve"> vil imidlertid</w:t>
      </w:r>
      <w:r w:rsidR="00804646" w:rsidRPr="00815B3E">
        <w:rPr>
          <w:rFonts w:eastAsia="Calibri" w:cs="Times New Roman"/>
          <w:color w:val="000000" w:themeColor="text1"/>
          <w:szCs w:val="24"/>
        </w:rPr>
        <w:t xml:space="preserve"> efter forslaget</w:t>
      </w:r>
      <w:r w:rsidRPr="00815B3E">
        <w:rPr>
          <w:rFonts w:eastAsia="Calibri" w:cs="Times New Roman"/>
          <w:color w:val="000000" w:themeColor="text1"/>
          <w:szCs w:val="24"/>
        </w:rPr>
        <w:t xml:space="preserve"> ikke udløse beskatning af en </w:t>
      </w:r>
      <w:proofErr w:type="spellStart"/>
      <w:r w:rsidRPr="00815B3E">
        <w:rPr>
          <w:rFonts w:eastAsia="Calibri" w:cs="Times New Roman"/>
          <w:color w:val="000000" w:themeColor="text1"/>
          <w:szCs w:val="24"/>
        </w:rPr>
        <w:t>urealiseret</w:t>
      </w:r>
      <w:proofErr w:type="spellEnd"/>
      <w:r w:rsidRPr="00815B3E">
        <w:rPr>
          <w:rFonts w:eastAsia="Calibri" w:cs="Times New Roman"/>
          <w:color w:val="000000" w:themeColor="text1"/>
          <w:szCs w:val="24"/>
        </w:rPr>
        <w:t xml:space="preserve"> gevinst i overgangsåret. En gevinst eller et tab efter realisationsprincippet vil efter forslaget hvile på ejendommen og </w:t>
      </w:r>
      <w:r w:rsidR="00DF0D56" w:rsidRPr="00815B3E">
        <w:rPr>
          <w:rFonts w:eastAsia="Calibri" w:cs="Times New Roman"/>
          <w:color w:val="000000" w:themeColor="text1"/>
          <w:szCs w:val="24"/>
        </w:rPr>
        <w:lastRenderedPageBreak/>
        <w:t xml:space="preserve">vil </w:t>
      </w:r>
      <w:r w:rsidRPr="00815B3E">
        <w:rPr>
          <w:rFonts w:eastAsia="Calibri" w:cs="Times New Roman"/>
          <w:color w:val="000000" w:themeColor="text1"/>
          <w:szCs w:val="24"/>
        </w:rPr>
        <w:t>som udgangspunkt først</w:t>
      </w:r>
      <w:r w:rsidR="00DF0D56" w:rsidRPr="00815B3E">
        <w:rPr>
          <w:rFonts w:eastAsia="Calibri" w:cs="Times New Roman"/>
          <w:color w:val="000000" w:themeColor="text1"/>
          <w:szCs w:val="24"/>
        </w:rPr>
        <w:t xml:space="preserve"> blive udløst i form af beskatning</w:t>
      </w:r>
      <w:r w:rsidRPr="00815B3E">
        <w:rPr>
          <w:rFonts w:eastAsia="Calibri" w:cs="Times New Roman"/>
          <w:color w:val="000000" w:themeColor="text1"/>
          <w:szCs w:val="24"/>
        </w:rPr>
        <w:t xml:space="preserve">, når ejendommen afstås. Det foreslås, at selskabet for disse ejendomme skal føre en realisationssaldo, så </w:t>
      </w:r>
      <w:r w:rsidR="00EF00C6" w:rsidRPr="00815B3E">
        <w:rPr>
          <w:rFonts w:eastAsia="Calibri" w:cs="Times New Roman"/>
          <w:color w:val="000000" w:themeColor="text1"/>
          <w:szCs w:val="24"/>
        </w:rPr>
        <w:t>oplysninger om</w:t>
      </w:r>
      <w:r w:rsidRPr="00815B3E">
        <w:rPr>
          <w:rFonts w:eastAsia="Calibri" w:cs="Times New Roman"/>
          <w:color w:val="000000" w:themeColor="text1"/>
          <w:szCs w:val="24"/>
        </w:rPr>
        <w:t xml:space="preserve"> den </w:t>
      </w:r>
      <w:proofErr w:type="spellStart"/>
      <w:r w:rsidRPr="00815B3E">
        <w:rPr>
          <w:rFonts w:eastAsia="Calibri" w:cs="Times New Roman"/>
          <w:color w:val="000000" w:themeColor="text1"/>
          <w:szCs w:val="24"/>
        </w:rPr>
        <w:t>urealiserede</w:t>
      </w:r>
      <w:proofErr w:type="spellEnd"/>
      <w:r w:rsidRPr="00815B3E">
        <w:rPr>
          <w:rFonts w:eastAsia="Calibri" w:cs="Times New Roman"/>
          <w:color w:val="000000" w:themeColor="text1"/>
          <w:szCs w:val="24"/>
        </w:rPr>
        <w:t xml:space="preserve"> gevinst eller det </w:t>
      </w:r>
      <w:proofErr w:type="spellStart"/>
      <w:r w:rsidRPr="00815B3E">
        <w:rPr>
          <w:rFonts w:eastAsia="Calibri" w:cs="Times New Roman"/>
          <w:color w:val="000000" w:themeColor="text1"/>
          <w:szCs w:val="24"/>
        </w:rPr>
        <w:t>urealiserede</w:t>
      </w:r>
      <w:proofErr w:type="spellEnd"/>
      <w:r w:rsidRPr="00815B3E">
        <w:rPr>
          <w:rFonts w:eastAsia="Calibri" w:cs="Times New Roman"/>
          <w:color w:val="000000" w:themeColor="text1"/>
          <w:szCs w:val="24"/>
        </w:rPr>
        <w:t xml:space="preserve"> tab</w:t>
      </w:r>
      <w:r w:rsidR="00EF00C6" w:rsidRPr="00815B3E">
        <w:rPr>
          <w:rFonts w:eastAsia="Calibri" w:cs="Times New Roman"/>
          <w:color w:val="000000" w:themeColor="text1"/>
          <w:szCs w:val="24"/>
        </w:rPr>
        <w:t xml:space="preserve"> sikres</w:t>
      </w:r>
      <w:r w:rsidRPr="00815B3E">
        <w:rPr>
          <w:rFonts w:eastAsia="Calibri" w:cs="Times New Roman"/>
          <w:color w:val="000000" w:themeColor="text1"/>
          <w:szCs w:val="24"/>
        </w:rPr>
        <w:t>.</w:t>
      </w:r>
    </w:p>
    <w:p w14:paraId="3E4366E1" w14:textId="62C054A2" w:rsidR="005D5E3E" w:rsidRPr="00815B3E" w:rsidRDefault="005D5E3E" w:rsidP="009D74A4">
      <w:pPr>
        <w:spacing w:after="240"/>
        <w:rPr>
          <w:rFonts w:eastAsia="Calibri" w:cs="Times New Roman"/>
          <w:color w:val="000000" w:themeColor="text1"/>
          <w:szCs w:val="24"/>
        </w:rPr>
      </w:pPr>
      <w:r w:rsidRPr="00815B3E">
        <w:rPr>
          <w:rFonts w:eastAsia="Calibri" w:cs="Times New Roman"/>
          <w:color w:val="000000" w:themeColor="text1"/>
          <w:szCs w:val="24"/>
        </w:rPr>
        <w:t xml:space="preserve">Realisationssaldoen </w:t>
      </w:r>
      <w:r w:rsidR="00804646" w:rsidRPr="00815B3E">
        <w:rPr>
          <w:rFonts w:eastAsia="Calibri" w:cs="Times New Roman"/>
          <w:color w:val="000000" w:themeColor="text1"/>
          <w:szCs w:val="24"/>
        </w:rPr>
        <w:t xml:space="preserve">vil </w:t>
      </w:r>
      <w:r w:rsidRPr="00815B3E">
        <w:rPr>
          <w:rFonts w:eastAsia="Calibri" w:cs="Times New Roman"/>
          <w:color w:val="000000" w:themeColor="text1"/>
          <w:szCs w:val="24"/>
        </w:rPr>
        <w:t xml:space="preserve">reflektere en latent skatteforpligtelse </w:t>
      </w:r>
      <w:r w:rsidR="00804646" w:rsidRPr="00815B3E">
        <w:rPr>
          <w:rFonts w:eastAsia="Calibri" w:cs="Times New Roman"/>
          <w:color w:val="000000" w:themeColor="text1"/>
          <w:szCs w:val="24"/>
        </w:rPr>
        <w:t xml:space="preserve">på ejendommen i form af en </w:t>
      </w:r>
      <w:proofErr w:type="spellStart"/>
      <w:r w:rsidR="00804646" w:rsidRPr="00815B3E">
        <w:rPr>
          <w:rFonts w:eastAsia="Calibri" w:cs="Times New Roman"/>
          <w:color w:val="000000" w:themeColor="text1"/>
          <w:szCs w:val="24"/>
        </w:rPr>
        <w:t>urealiseret</w:t>
      </w:r>
      <w:proofErr w:type="spellEnd"/>
      <w:r w:rsidR="00804646" w:rsidRPr="00815B3E">
        <w:rPr>
          <w:rFonts w:eastAsia="Calibri" w:cs="Times New Roman"/>
          <w:color w:val="000000" w:themeColor="text1"/>
          <w:szCs w:val="24"/>
        </w:rPr>
        <w:t xml:space="preserve"> </w:t>
      </w:r>
      <w:r w:rsidRPr="00815B3E">
        <w:rPr>
          <w:rFonts w:eastAsia="Calibri" w:cs="Times New Roman"/>
          <w:color w:val="000000" w:themeColor="text1"/>
          <w:szCs w:val="24"/>
        </w:rPr>
        <w:t>ejendomsavance (-tab)</w:t>
      </w:r>
      <w:r w:rsidR="00397432" w:rsidRPr="00815B3E">
        <w:rPr>
          <w:rFonts w:eastAsia="Calibri" w:cs="Times New Roman"/>
          <w:color w:val="000000" w:themeColor="text1"/>
          <w:szCs w:val="24"/>
        </w:rPr>
        <w:t>,</w:t>
      </w:r>
      <w:r w:rsidRPr="00815B3E">
        <w:rPr>
          <w:rFonts w:eastAsia="Calibri" w:cs="Times New Roman"/>
          <w:color w:val="000000" w:themeColor="text1"/>
          <w:szCs w:val="24"/>
        </w:rPr>
        <w:t xml:space="preserve"> der er opstået</w:t>
      </w:r>
      <w:r w:rsidR="00804646" w:rsidRPr="00815B3E">
        <w:rPr>
          <w:rFonts w:eastAsia="Calibri" w:cs="Times New Roman"/>
          <w:color w:val="000000" w:themeColor="text1"/>
          <w:szCs w:val="24"/>
        </w:rPr>
        <w:t xml:space="preserve"> i ejertiden</w:t>
      </w:r>
      <w:r w:rsidRPr="00815B3E">
        <w:rPr>
          <w:rFonts w:eastAsia="Calibri" w:cs="Times New Roman"/>
          <w:color w:val="000000" w:themeColor="text1"/>
          <w:szCs w:val="24"/>
        </w:rPr>
        <w:t xml:space="preserve"> </w:t>
      </w:r>
      <w:r w:rsidR="00170BC9" w:rsidRPr="00815B3E">
        <w:rPr>
          <w:rFonts w:eastAsia="Calibri" w:cs="Times New Roman"/>
          <w:color w:val="000000" w:themeColor="text1"/>
          <w:szCs w:val="24"/>
        </w:rPr>
        <w:t>frem til</w:t>
      </w:r>
      <w:r w:rsidRPr="00815B3E">
        <w:rPr>
          <w:rFonts w:eastAsia="Calibri" w:cs="Times New Roman"/>
          <w:color w:val="000000" w:themeColor="text1"/>
          <w:szCs w:val="24"/>
        </w:rPr>
        <w:t xml:space="preserve"> overgangen fra realisationsbeskatning til lagerbeskatning. </w:t>
      </w:r>
    </w:p>
    <w:p w14:paraId="32B91DE3" w14:textId="3D8AB62F" w:rsidR="00170BC9" w:rsidRPr="00815B3E" w:rsidRDefault="005D5E3E" w:rsidP="009D74A4">
      <w:pPr>
        <w:spacing w:after="240"/>
        <w:rPr>
          <w:rFonts w:eastAsia="Calibri" w:cs="Times New Roman"/>
          <w:color w:val="000000" w:themeColor="text1"/>
          <w:szCs w:val="24"/>
        </w:rPr>
      </w:pPr>
      <w:r w:rsidRPr="00815B3E">
        <w:rPr>
          <w:rFonts w:eastAsia="Calibri" w:cs="Times New Roman"/>
          <w:color w:val="000000" w:themeColor="text1"/>
          <w:szCs w:val="24"/>
        </w:rPr>
        <w:t xml:space="preserve">Der er flere scenarier, hvorefter en ejendom kan overgå til lagerbeskatning. </w:t>
      </w:r>
      <w:r w:rsidR="00170BC9" w:rsidRPr="00815B3E">
        <w:rPr>
          <w:rFonts w:eastAsia="Calibri" w:cs="Times New Roman"/>
          <w:color w:val="000000" w:themeColor="text1"/>
          <w:szCs w:val="24"/>
        </w:rPr>
        <w:t>D</w:t>
      </w:r>
      <w:r w:rsidRPr="00815B3E">
        <w:rPr>
          <w:rFonts w:eastAsia="Calibri" w:cs="Times New Roman"/>
          <w:color w:val="000000" w:themeColor="text1"/>
          <w:szCs w:val="24"/>
        </w:rPr>
        <w:t>en samlede ejendomsportefølje af udlejningsejendomme på koncernniveau</w:t>
      </w:r>
      <w:r w:rsidR="00170BC9" w:rsidRPr="00815B3E">
        <w:rPr>
          <w:rFonts w:eastAsia="Calibri" w:cs="Times New Roman"/>
          <w:color w:val="000000" w:themeColor="text1"/>
          <w:szCs w:val="24"/>
        </w:rPr>
        <w:t xml:space="preserve"> kan allerede</w:t>
      </w:r>
      <w:r w:rsidRPr="00815B3E">
        <w:rPr>
          <w:rFonts w:eastAsia="Calibri" w:cs="Times New Roman"/>
          <w:color w:val="000000" w:themeColor="text1"/>
          <w:szCs w:val="24"/>
        </w:rPr>
        <w:t xml:space="preserve"> </w:t>
      </w:r>
      <w:r w:rsidR="008040A4" w:rsidRPr="00815B3E">
        <w:rPr>
          <w:rFonts w:eastAsia="Calibri" w:cs="Times New Roman"/>
          <w:color w:val="000000" w:themeColor="text1"/>
          <w:szCs w:val="24"/>
        </w:rPr>
        <w:t xml:space="preserve">ved lovens ikrafttræden </w:t>
      </w:r>
      <w:r w:rsidRPr="00815B3E">
        <w:rPr>
          <w:rFonts w:eastAsia="Calibri" w:cs="Times New Roman"/>
          <w:color w:val="000000" w:themeColor="text1"/>
          <w:szCs w:val="24"/>
        </w:rPr>
        <w:t xml:space="preserve">overstige en værdi </w:t>
      </w:r>
      <w:r w:rsidR="00170BC9" w:rsidRPr="00815B3E">
        <w:rPr>
          <w:rFonts w:eastAsia="Calibri" w:cs="Times New Roman"/>
          <w:color w:val="000000" w:themeColor="text1"/>
          <w:szCs w:val="24"/>
        </w:rPr>
        <w:t>på</w:t>
      </w:r>
      <w:r w:rsidRPr="00815B3E">
        <w:rPr>
          <w:rFonts w:eastAsia="Calibri" w:cs="Times New Roman"/>
          <w:color w:val="000000" w:themeColor="text1"/>
          <w:szCs w:val="24"/>
        </w:rPr>
        <w:t xml:space="preserve"> 100 mio. kr. </w:t>
      </w:r>
      <w:r w:rsidR="00170BC9" w:rsidRPr="00815B3E">
        <w:rPr>
          <w:rFonts w:eastAsia="Calibri" w:cs="Times New Roman"/>
          <w:color w:val="000000" w:themeColor="text1"/>
          <w:szCs w:val="24"/>
        </w:rPr>
        <w:t>I dette tilfælde vil lagerbeskatningen efter forslaget allerede indtræde ved lovens ikrafttræden. Beløbsgrænsen kan også overskrides i et senere indkomstår. I så fald overgår udlejningsejendommene efter forslaget til lagerbeskatning fra og med dette senere indkomstår.</w:t>
      </w:r>
    </w:p>
    <w:p w14:paraId="756BDF7F" w14:textId="33BC7A36" w:rsidR="00B05237" w:rsidRPr="00815B3E" w:rsidRDefault="005D5E3E" w:rsidP="009D74A4">
      <w:pPr>
        <w:spacing w:after="240"/>
        <w:rPr>
          <w:rFonts w:eastAsia="Calibri" w:cs="Times New Roman"/>
          <w:color w:val="000000" w:themeColor="text1"/>
          <w:szCs w:val="24"/>
        </w:rPr>
      </w:pPr>
      <w:r w:rsidRPr="00815B3E">
        <w:rPr>
          <w:rFonts w:eastAsia="Calibri" w:cs="Times New Roman"/>
          <w:color w:val="000000" w:themeColor="text1"/>
          <w:szCs w:val="24"/>
        </w:rPr>
        <w:t>Det kan også være, at en ejendom, der førhen har været anvendt i egen drift</w:t>
      </w:r>
      <w:r w:rsidR="00170BC9" w:rsidRPr="00815B3E">
        <w:rPr>
          <w:rFonts w:eastAsia="Calibri" w:cs="Times New Roman"/>
          <w:color w:val="000000" w:themeColor="text1"/>
          <w:szCs w:val="24"/>
        </w:rPr>
        <w:t xml:space="preserve"> i selskabet eller et koncernselskab</w:t>
      </w:r>
      <w:r w:rsidRPr="00815B3E">
        <w:rPr>
          <w:rFonts w:eastAsia="Calibri" w:cs="Times New Roman"/>
          <w:color w:val="000000" w:themeColor="text1"/>
          <w:szCs w:val="24"/>
        </w:rPr>
        <w:t xml:space="preserve">, overgår til at være udlejet i overvejende omfang. Det kan også være, at en ejendom indgår i en ny koncern som følge af en skattefri fusion </w:t>
      </w:r>
      <w:r w:rsidR="00D9042E" w:rsidRPr="00815B3E">
        <w:rPr>
          <w:rFonts w:eastAsia="Calibri" w:cs="Times New Roman"/>
          <w:color w:val="000000" w:themeColor="text1"/>
          <w:szCs w:val="24"/>
        </w:rPr>
        <w:t xml:space="preserve">eller </w:t>
      </w:r>
      <w:r w:rsidRPr="00815B3E">
        <w:rPr>
          <w:rFonts w:eastAsia="Calibri" w:cs="Times New Roman"/>
          <w:color w:val="000000" w:themeColor="text1"/>
          <w:szCs w:val="24"/>
        </w:rPr>
        <w:t>spaltning eller som en tilførsel af aktiv</w:t>
      </w:r>
      <w:r w:rsidR="00D9042E" w:rsidRPr="00815B3E">
        <w:rPr>
          <w:rFonts w:eastAsia="Calibri" w:cs="Times New Roman"/>
          <w:color w:val="000000" w:themeColor="text1"/>
          <w:szCs w:val="24"/>
        </w:rPr>
        <w:t>er</w:t>
      </w:r>
      <w:r w:rsidR="00B05237" w:rsidRPr="00815B3E">
        <w:rPr>
          <w:rFonts w:eastAsia="Calibri" w:cs="Times New Roman"/>
          <w:color w:val="000000" w:themeColor="text1"/>
          <w:szCs w:val="24"/>
        </w:rPr>
        <w:t>, og i det modtagende selskab lever op til betingelserne for, at ejendommen skal lagerbeskattes</w:t>
      </w:r>
      <w:r w:rsidRPr="00815B3E">
        <w:rPr>
          <w:rFonts w:eastAsia="Calibri" w:cs="Times New Roman"/>
          <w:color w:val="000000" w:themeColor="text1"/>
          <w:szCs w:val="24"/>
        </w:rPr>
        <w:t>.</w:t>
      </w:r>
      <w:r w:rsidR="00821926" w:rsidRPr="00815B3E">
        <w:rPr>
          <w:rFonts w:eastAsia="Calibri" w:cs="Times New Roman"/>
          <w:color w:val="000000" w:themeColor="text1"/>
          <w:szCs w:val="24"/>
        </w:rPr>
        <w:t xml:space="preserve"> </w:t>
      </w:r>
    </w:p>
    <w:p w14:paraId="283332C9" w14:textId="3D6EBFAF" w:rsidR="00881CF8" w:rsidRPr="00815B3E" w:rsidRDefault="00D71F1F" w:rsidP="00D075DF">
      <w:pPr>
        <w:spacing w:after="240"/>
        <w:rPr>
          <w:rFonts w:eastAsia="Calibri" w:cs="Times New Roman"/>
          <w:color w:val="000000" w:themeColor="text1"/>
          <w:szCs w:val="24"/>
        </w:rPr>
      </w:pPr>
      <w:r w:rsidRPr="00815B3E">
        <w:rPr>
          <w:rFonts w:eastAsia="Calibri" w:cs="Times New Roman"/>
          <w:color w:val="000000" w:themeColor="text1"/>
          <w:szCs w:val="24"/>
        </w:rPr>
        <w:t>Den</w:t>
      </w:r>
      <w:r w:rsidR="00D075DF" w:rsidRPr="00815B3E">
        <w:rPr>
          <w:rFonts w:eastAsia="Calibri" w:cs="Times New Roman"/>
          <w:color w:val="000000" w:themeColor="text1"/>
          <w:szCs w:val="24"/>
        </w:rPr>
        <w:t xml:space="preserve"> løbende lagerbeskatning skal </w:t>
      </w:r>
      <w:r w:rsidR="00D9042E" w:rsidRPr="00815B3E">
        <w:rPr>
          <w:rFonts w:eastAsia="Calibri" w:cs="Times New Roman"/>
          <w:color w:val="000000" w:themeColor="text1"/>
          <w:szCs w:val="24"/>
        </w:rPr>
        <w:t xml:space="preserve">efter forslaget </w:t>
      </w:r>
      <w:r w:rsidR="00D075DF" w:rsidRPr="00815B3E">
        <w:rPr>
          <w:rFonts w:eastAsia="Calibri" w:cs="Times New Roman"/>
          <w:color w:val="000000" w:themeColor="text1"/>
          <w:szCs w:val="24"/>
        </w:rPr>
        <w:t>ske på baggrund af ejendommens handelsværdi</w:t>
      </w:r>
      <w:r w:rsidR="00170BC9" w:rsidRPr="00815B3E">
        <w:rPr>
          <w:rFonts w:eastAsia="Calibri" w:cs="Times New Roman"/>
          <w:color w:val="000000" w:themeColor="text1"/>
          <w:szCs w:val="24"/>
        </w:rPr>
        <w:t xml:space="preserve"> på det tidspunkt, ejendommen overgår til lagerbeskatning. Selskabet skal således på dette tidspunkt opgøre handelsværdien (indgangsværdien) af sine udlejningsejendomme</w:t>
      </w:r>
      <w:r w:rsidR="00D075DF" w:rsidRPr="00815B3E">
        <w:rPr>
          <w:rFonts w:eastAsia="Calibri" w:cs="Times New Roman"/>
          <w:color w:val="000000" w:themeColor="text1"/>
          <w:szCs w:val="24"/>
        </w:rPr>
        <w:t xml:space="preserve">. Ved handelsværdi forstås den </w:t>
      </w:r>
      <w:r w:rsidR="00240D3A" w:rsidRPr="00815B3E">
        <w:rPr>
          <w:rFonts w:eastAsia="Calibri" w:cs="Times New Roman"/>
          <w:color w:val="000000" w:themeColor="text1"/>
          <w:szCs w:val="24"/>
        </w:rPr>
        <w:t xml:space="preserve">aktuelle </w:t>
      </w:r>
      <w:r w:rsidR="00D075DF" w:rsidRPr="00815B3E">
        <w:rPr>
          <w:rFonts w:eastAsia="Calibri" w:cs="Times New Roman"/>
          <w:color w:val="000000" w:themeColor="text1"/>
          <w:szCs w:val="24"/>
        </w:rPr>
        <w:t xml:space="preserve">værdi, som en uafhængig tredjepart ville give for ejendommen </w:t>
      </w:r>
      <w:r w:rsidR="00B864A8" w:rsidRPr="00815B3E">
        <w:rPr>
          <w:rFonts w:eastAsia="Calibri" w:cs="Times New Roman"/>
          <w:color w:val="000000" w:themeColor="text1"/>
          <w:szCs w:val="24"/>
        </w:rPr>
        <w:t>på</w:t>
      </w:r>
      <w:r w:rsidR="00D075DF" w:rsidRPr="00815B3E">
        <w:rPr>
          <w:rFonts w:eastAsia="Calibri" w:cs="Times New Roman"/>
          <w:color w:val="000000" w:themeColor="text1"/>
          <w:szCs w:val="24"/>
        </w:rPr>
        <w:t xml:space="preserve"> det fri marked</w:t>
      </w:r>
      <w:r w:rsidR="00D9042E" w:rsidRPr="00815B3E">
        <w:rPr>
          <w:rFonts w:eastAsia="Calibri" w:cs="Times New Roman"/>
          <w:color w:val="000000" w:themeColor="text1"/>
          <w:szCs w:val="24"/>
        </w:rPr>
        <w:t xml:space="preserve"> på </w:t>
      </w:r>
      <w:r w:rsidR="00170BC9" w:rsidRPr="00815B3E">
        <w:rPr>
          <w:rFonts w:eastAsia="Calibri" w:cs="Times New Roman"/>
          <w:color w:val="000000" w:themeColor="text1"/>
          <w:szCs w:val="24"/>
        </w:rPr>
        <w:t>overgangs</w:t>
      </w:r>
      <w:r w:rsidR="00D9042E" w:rsidRPr="00815B3E">
        <w:rPr>
          <w:rFonts w:eastAsia="Calibri" w:cs="Times New Roman"/>
          <w:color w:val="000000" w:themeColor="text1"/>
          <w:szCs w:val="24"/>
        </w:rPr>
        <w:t>tidspunktet</w:t>
      </w:r>
      <w:r w:rsidR="00D075DF" w:rsidRPr="00815B3E">
        <w:rPr>
          <w:rFonts w:eastAsia="Calibri" w:cs="Times New Roman"/>
          <w:color w:val="000000" w:themeColor="text1"/>
          <w:szCs w:val="24"/>
        </w:rPr>
        <w:t xml:space="preserve">. </w:t>
      </w:r>
    </w:p>
    <w:p w14:paraId="658049D9" w14:textId="3B86A218" w:rsidR="00A111A0" w:rsidRPr="00815B3E" w:rsidRDefault="00881CF8" w:rsidP="00D075DF">
      <w:pPr>
        <w:spacing w:after="240"/>
        <w:rPr>
          <w:rFonts w:eastAsia="Calibri" w:cs="Times New Roman"/>
          <w:color w:val="000000" w:themeColor="text1"/>
          <w:szCs w:val="24"/>
        </w:rPr>
      </w:pPr>
      <w:r w:rsidRPr="00815B3E">
        <w:rPr>
          <w:rFonts w:eastAsia="Calibri" w:cs="Times New Roman"/>
          <w:color w:val="000000" w:themeColor="text1"/>
          <w:szCs w:val="24"/>
        </w:rPr>
        <w:t>Der tages udgangspunkt i ejendommens nutidsværdi, sådan som den skal opgøres i regnskabet. Mange</w:t>
      </w:r>
      <w:r w:rsidR="00D075DF" w:rsidRPr="00815B3E">
        <w:rPr>
          <w:rFonts w:eastAsia="Calibri" w:cs="Times New Roman"/>
          <w:color w:val="000000" w:themeColor="text1"/>
          <w:szCs w:val="24"/>
        </w:rPr>
        <w:t xml:space="preserve"> ejendomsinvesteringsselskaber opgør</w:t>
      </w:r>
      <w:r w:rsidRPr="00815B3E">
        <w:rPr>
          <w:rFonts w:eastAsia="Calibri" w:cs="Times New Roman"/>
          <w:color w:val="000000" w:themeColor="text1"/>
          <w:szCs w:val="24"/>
        </w:rPr>
        <w:t xml:space="preserve"> allerede</w:t>
      </w:r>
      <w:r w:rsidR="00D075DF" w:rsidRPr="00815B3E">
        <w:rPr>
          <w:rFonts w:eastAsia="Calibri" w:cs="Times New Roman"/>
          <w:color w:val="000000" w:themeColor="text1"/>
          <w:szCs w:val="24"/>
        </w:rPr>
        <w:t xml:space="preserve"> denne værdi til brug for regnskabsaflæggelsen</w:t>
      </w:r>
      <w:r w:rsidR="00F90356" w:rsidRPr="00815B3E">
        <w:rPr>
          <w:rFonts w:eastAsia="Calibri" w:cs="Times New Roman"/>
          <w:color w:val="000000" w:themeColor="text1"/>
          <w:szCs w:val="24"/>
        </w:rPr>
        <w:t>, og en anvendelse af denne værdi vil derfor kunne medvirke til at mindske de administrative byrder for virksomhederne</w:t>
      </w:r>
      <w:r w:rsidRPr="00815B3E">
        <w:rPr>
          <w:rFonts w:eastAsia="Calibri" w:cs="Times New Roman"/>
          <w:color w:val="000000" w:themeColor="text1"/>
          <w:szCs w:val="24"/>
        </w:rPr>
        <w:t xml:space="preserve">. </w:t>
      </w:r>
    </w:p>
    <w:p w14:paraId="0CAA6F75" w14:textId="65184FCD" w:rsidR="009D74A4" w:rsidRPr="00815B3E" w:rsidRDefault="00881CF8" w:rsidP="007E42A5">
      <w:pPr>
        <w:spacing w:after="240"/>
        <w:rPr>
          <w:rFonts w:eastAsia="Calibri" w:cs="Times New Roman"/>
          <w:color w:val="000000" w:themeColor="text1"/>
          <w:szCs w:val="24"/>
        </w:rPr>
      </w:pPr>
      <w:r w:rsidRPr="00815B3E">
        <w:rPr>
          <w:rFonts w:eastAsia="Calibri" w:cs="Times New Roman"/>
          <w:color w:val="000000" w:themeColor="text1"/>
          <w:szCs w:val="24"/>
        </w:rPr>
        <w:t>For at styrke skattekontrollen med den anvendte handelsværdi</w:t>
      </w:r>
      <w:r w:rsidR="003B7EED" w:rsidRPr="00815B3E">
        <w:rPr>
          <w:rFonts w:eastAsia="Calibri" w:cs="Times New Roman"/>
          <w:color w:val="000000" w:themeColor="text1"/>
          <w:szCs w:val="24"/>
        </w:rPr>
        <w:t xml:space="preserve"> foreslås</w:t>
      </w:r>
      <w:r w:rsidRPr="00815B3E">
        <w:rPr>
          <w:rFonts w:eastAsia="Calibri" w:cs="Times New Roman"/>
          <w:color w:val="000000" w:themeColor="text1"/>
          <w:szCs w:val="24"/>
        </w:rPr>
        <w:t xml:space="preserve"> det</w:t>
      </w:r>
      <w:r w:rsidR="003B7EED" w:rsidRPr="00815B3E">
        <w:rPr>
          <w:rFonts w:eastAsia="Calibri" w:cs="Times New Roman"/>
          <w:color w:val="000000" w:themeColor="text1"/>
          <w:szCs w:val="24"/>
        </w:rPr>
        <w:t xml:space="preserve">, at </w:t>
      </w:r>
      <w:r w:rsidRPr="00815B3E">
        <w:rPr>
          <w:rFonts w:eastAsia="Calibri" w:cs="Times New Roman"/>
          <w:color w:val="000000" w:themeColor="text1"/>
          <w:szCs w:val="24"/>
        </w:rPr>
        <w:t xml:space="preserve">den skattepligtige skal kunne dokumentere </w:t>
      </w:r>
      <w:r w:rsidR="00674753" w:rsidRPr="00815B3E">
        <w:rPr>
          <w:rFonts w:eastAsia="Calibri" w:cs="Times New Roman"/>
          <w:color w:val="000000" w:themeColor="text1"/>
          <w:szCs w:val="24"/>
        </w:rPr>
        <w:t>fremgangsmåde og metodevalg</w:t>
      </w:r>
      <w:r w:rsidR="00A111A0" w:rsidRPr="00815B3E">
        <w:rPr>
          <w:rFonts w:eastAsia="Calibri" w:cs="Times New Roman"/>
          <w:color w:val="000000" w:themeColor="text1"/>
          <w:szCs w:val="24"/>
        </w:rPr>
        <w:t xml:space="preserve"> for </w:t>
      </w:r>
      <w:r w:rsidRPr="00815B3E">
        <w:rPr>
          <w:rFonts w:eastAsia="Calibri" w:cs="Times New Roman"/>
          <w:color w:val="000000" w:themeColor="text1"/>
          <w:szCs w:val="24"/>
        </w:rPr>
        <w:t xml:space="preserve">fastsættelse af </w:t>
      </w:r>
      <w:r w:rsidR="003B7EED" w:rsidRPr="00815B3E">
        <w:rPr>
          <w:rFonts w:eastAsia="Calibri" w:cs="Times New Roman"/>
          <w:color w:val="000000" w:themeColor="text1"/>
          <w:szCs w:val="24"/>
        </w:rPr>
        <w:t>handelsværdien.</w:t>
      </w:r>
      <w:r w:rsidR="00A111A0" w:rsidRPr="00815B3E">
        <w:rPr>
          <w:rFonts w:eastAsia="Calibri" w:cs="Times New Roman"/>
          <w:color w:val="000000" w:themeColor="text1"/>
          <w:szCs w:val="24"/>
        </w:rPr>
        <w:t xml:space="preserve"> </w:t>
      </w:r>
      <w:r w:rsidR="009D74A4" w:rsidRPr="00815B3E">
        <w:rPr>
          <w:rFonts w:eastAsia="Calibri" w:cs="Times New Roman"/>
          <w:color w:val="000000" w:themeColor="text1"/>
          <w:szCs w:val="24"/>
        </w:rPr>
        <w:t>Det foresl</w:t>
      </w:r>
      <w:r w:rsidR="003B7EED" w:rsidRPr="00815B3E">
        <w:rPr>
          <w:rFonts w:eastAsia="Calibri" w:cs="Times New Roman"/>
          <w:color w:val="000000" w:themeColor="text1"/>
          <w:szCs w:val="24"/>
        </w:rPr>
        <w:t>ås</w:t>
      </w:r>
      <w:r w:rsidR="009D74A4" w:rsidRPr="00815B3E">
        <w:rPr>
          <w:rFonts w:eastAsia="Calibri" w:cs="Times New Roman"/>
          <w:color w:val="000000" w:themeColor="text1"/>
          <w:szCs w:val="24"/>
        </w:rPr>
        <w:t xml:space="preserve">, at </w:t>
      </w:r>
      <w:r w:rsidRPr="00815B3E">
        <w:rPr>
          <w:rFonts w:eastAsia="Calibri" w:cs="Times New Roman"/>
          <w:color w:val="000000" w:themeColor="text1"/>
          <w:szCs w:val="24"/>
        </w:rPr>
        <w:t>Skatte</w:t>
      </w:r>
      <w:r w:rsidR="00270DE5">
        <w:rPr>
          <w:rFonts w:eastAsia="Calibri" w:cs="Times New Roman"/>
          <w:color w:val="000000" w:themeColor="text1"/>
          <w:szCs w:val="24"/>
        </w:rPr>
        <w:t>forvaltningen</w:t>
      </w:r>
      <w:r w:rsidRPr="00815B3E">
        <w:rPr>
          <w:rFonts w:eastAsia="Calibri" w:cs="Times New Roman"/>
          <w:color w:val="000000" w:themeColor="text1"/>
          <w:szCs w:val="24"/>
        </w:rPr>
        <w:t xml:space="preserve"> </w:t>
      </w:r>
      <w:r w:rsidR="009D74A4" w:rsidRPr="00815B3E">
        <w:rPr>
          <w:rFonts w:eastAsia="Calibri" w:cs="Times New Roman"/>
          <w:color w:val="000000" w:themeColor="text1"/>
          <w:szCs w:val="24"/>
        </w:rPr>
        <w:t>gives bemyndigelse til at fastsætte regler</w:t>
      </w:r>
      <w:r w:rsidRPr="00815B3E">
        <w:rPr>
          <w:rFonts w:eastAsia="Calibri" w:cs="Times New Roman"/>
          <w:color w:val="000000" w:themeColor="text1"/>
          <w:szCs w:val="24"/>
        </w:rPr>
        <w:t xml:space="preserve"> om,</w:t>
      </w:r>
      <w:r w:rsidR="009D74A4" w:rsidRPr="00815B3E">
        <w:rPr>
          <w:rFonts w:eastAsia="Calibri" w:cs="Times New Roman"/>
          <w:color w:val="000000" w:themeColor="text1"/>
          <w:szCs w:val="24"/>
        </w:rPr>
        <w:t xml:space="preserve"> hvilke</w:t>
      </w:r>
      <w:r w:rsidR="00170BC9" w:rsidRPr="00815B3E">
        <w:rPr>
          <w:rFonts w:eastAsia="Calibri" w:cs="Times New Roman"/>
          <w:color w:val="000000" w:themeColor="text1"/>
          <w:szCs w:val="24"/>
        </w:rPr>
        <w:t xml:space="preserve"> oplysninger</w:t>
      </w:r>
      <w:r w:rsidR="009D74A4" w:rsidRPr="00815B3E">
        <w:rPr>
          <w:rFonts w:eastAsia="Calibri" w:cs="Times New Roman"/>
          <w:color w:val="000000" w:themeColor="text1"/>
          <w:szCs w:val="24"/>
        </w:rPr>
        <w:t xml:space="preserve"> </w:t>
      </w:r>
      <w:r w:rsidRPr="00815B3E">
        <w:rPr>
          <w:rFonts w:eastAsia="Calibri" w:cs="Times New Roman"/>
          <w:color w:val="000000" w:themeColor="text1"/>
          <w:szCs w:val="24"/>
        </w:rPr>
        <w:t xml:space="preserve">der </w:t>
      </w:r>
      <w:r w:rsidR="00A111A0" w:rsidRPr="00815B3E">
        <w:rPr>
          <w:rFonts w:eastAsia="Calibri" w:cs="Times New Roman"/>
          <w:color w:val="000000" w:themeColor="text1"/>
          <w:szCs w:val="24"/>
        </w:rPr>
        <w:t xml:space="preserve">som minimum </w:t>
      </w:r>
      <w:r w:rsidR="009D74A4" w:rsidRPr="00815B3E">
        <w:rPr>
          <w:rFonts w:eastAsia="Calibri" w:cs="Times New Roman"/>
          <w:color w:val="000000" w:themeColor="text1"/>
          <w:szCs w:val="24"/>
        </w:rPr>
        <w:t xml:space="preserve">skal </w:t>
      </w:r>
      <w:r w:rsidRPr="00815B3E">
        <w:rPr>
          <w:rFonts w:eastAsia="Calibri" w:cs="Times New Roman"/>
          <w:color w:val="000000" w:themeColor="text1"/>
          <w:szCs w:val="24"/>
        </w:rPr>
        <w:t xml:space="preserve">afgives, så Skatteforvaltningen kan </w:t>
      </w:r>
      <w:r w:rsidR="009D74A4" w:rsidRPr="00815B3E">
        <w:rPr>
          <w:rFonts w:eastAsia="Calibri" w:cs="Times New Roman"/>
          <w:color w:val="000000" w:themeColor="text1"/>
          <w:szCs w:val="24"/>
        </w:rPr>
        <w:t>vurdere</w:t>
      </w:r>
      <w:r w:rsidR="00B04832" w:rsidRPr="00815B3E">
        <w:rPr>
          <w:rFonts w:eastAsia="Calibri" w:cs="Times New Roman"/>
          <w:color w:val="000000" w:themeColor="text1"/>
          <w:szCs w:val="24"/>
        </w:rPr>
        <w:t>,</w:t>
      </w:r>
      <w:r w:rsidR="009D74A4" w:rsidRPr="00815B3E">
        <w:rPr>
          <w:rFonts w:eastAsia="Calibri" w:cs="Times New Roman"/>
          <w:color w:val="000000" w:themeColor="text1"/>
          <w:szCs w:val="24"/>
        </w:rPr>
        <w:t xml:space="preserve"> om handelsværdien er fastsat korrekt.</w:t>
      </w:r>
    </w:p>
    <w:p w14:paraId="214E9DC3" w14:textId="4E3A21BB" w:rsidR="00B63538" w:rsidRPr="00815B3E" w:rsidRDefault="00B63538" w:rsidP="007E42A5">
      <w:pPr>
        <w:spacing w:after="240"/>
        <w:rPr>
          <w:rFonts w:eastAsia="Calibri" w:cs="Times New Roman"/>
          <w:color w:val="000000" w:themeColor="text1"/>
          <w:szCs w:val="24"/>
        </w:rPr>
      </w:pPr>
      <w:r w:rsidRPr="00815B3E">
        <w:rPr>
          <w:rFonts w:eastAsia="Calibri" w:cs="Times New Roman"/>
          <w:color w:val="000000" w:themeColor="text1"/>
          <w:szCs w:val="24"/>
        </w:rPr>
        <w:lastRenderedPageBreak/>
        <w:t>D</w:t>
      </w:r>
      <w:r w:rsidR="00D71F1F" w:rsidRPr="00815B3E">
        <w:rPr>
          <w:rFonts w:eastAsia="Calibri" w:cs="Times New Roman"/>
          <w:color w:val="000000" w:themeColor="text1"/>
          <w:szCs w:val="24"/>
        </w:rPr>
        <w:t>et</w:t>
      </w:r>
      <w:r w:rsidRPr="00815B3E">
        <w:rPr>
          <w:rFonts w:eastAsia="Calibri" w:cs="Times New Roman"/>
          <w:color w:val="000000" w:themeColor="text1"/>
          <w:szCs w:val="24"/>
        </w:rPr>
        <w:t xml:space="preserve"> foreslås</w:t>
      </w:r>
      <w:r w:rsidR="00D71F1F" w:rsidRPr="00815B3E">
        <w:rPr>
          <w:rFonts w:eastAsia="Calibri" w:cs="Times New Roman"/>
          <w:color w:val="000000" w:themeColor="text1"/>
          <w:szCs w:val="24"/>
        </w:rPr>
        <w:t xml:space="preserve"> at </w:t>
      </w:r>
      <w:r w:rsidR="00881CF8" w:rsidRPr="00815B3E">
        <w:rPr>
          <w:rFonts w:eastAsia="Calibri" w:cs="Times New Roman"/>
          <w:color w:val="000000" w:themeColor="text1"/>
          <w:szCs w:val="24"/>
        </w:rPr>
        <w:t>ophæve</w:t>
      </w:r>
      <w:r w:rsidR="00D71F1F" w:rsidRPr="00815B3E">
        <w:rPr>
          <w:rFonts w:eastAsia="Calibri" w:cs="Times New Roman"/>
          <w:color w:val="000000" w:themeColor="text1"/>
          <w:szCs w:val="24"/>
        </w:rPr>
        <w:t xml:space="preserve"> afskrivningsadgangen for de lagerbeskattede ejendomme</w:t>
      </w:r>
      <w:r w:rsidRPr="00815B3E">
        <w:rPr>
          <w:rFonts w:eastAsia="Calibri" w:cs="Times New Roman"/>
          <w:color w:val="000000" w:themeColor="text1"/>
          <w:szCs w:val="24"/>
        </w:rPr>
        <w:t xml:space="preserve">, </w:t>
      </w:r>
      <w:r w:rsidR="00F90356" w:rsidRPr="00815B3E">
        <w:rPr>
          <w:rFonts w:eastAsia="Calibri" w:cs="Times New Roman"/>
          <w:color w:val="000000" w:themeColor="text1"/>
          <w:szCs w:val="24"/>
        </w:rPr>
        <w:t>da det er</w:t>
      </w:r>
      <w:r w:rsidRPr="00815B3E">
        <w:rPr>
          <w:rFonts w:eastAsia="Calibri" w:cs="Times New Roman"/>
          <w:color w:val="000000" w:themeColor="text1"/>
          <w:szCs w:val="24"/>
        </w:rPr>
        <w:t xml:space="preserve"> </w:t>
      </w:r>
      <w:r w:rsidR="00170BC9" w:rsidRPr="00815B3E">
        <w:rPr>
          <w:rFonts w:eastAsia="Calibri" w:cs="Times New Roman"/>
          <w:color w:val="000000" w:themeColor="text1"/>
          <w:szCs w:val="24"/>
        </w:rPr>
        <w:t xml:space="preserve">den aktuelle </w:t>
      </w:r>
      <w:r w:rsidRPr="00815B3E">
        <w:rPr>
          <w:rFonts w:eastAsia="Calibri" w:cs="Times New Roman"/>
          <w:color w:val="000000" w:themeColor="text1"/>
          <w:szCs w:val="24"/>
        </w:rPr>
        <w:t>handelsværdi</w:t>
      </w:r>
      <w:r w:rsidR="00F90356" w:rsidRPr="00815B3E">
        <w:rPr>
          <w:rFonts w:eastAsia="Calibri" w:cs="Times New Roman"/>
          <w:color w:val="000000" w:themeColor="text1"/>
          <w:szCs w:val="24"/>
        </w:rPr>
        <w:t>, der</w:t>
      </w:r>
      <w:r w:rsidRPr="00815B3E">
        <w:rPr>
          <w:rFonts w:eastAsia="Calibri" w:cs="Times New Roman"/>
          <w:color w:val="000000" w:themeColor="text1"/>
          <w:szCs w:val="24"/>
        </w:rPr>
        <w:t xml:space="preserve"> udgør beskatningsgrundlaget for den løbende lagerbeskatning</w:t>
      </w:r>
      <w:r w:rsidR="00D71F1F" w:rsidRPr="00815B3E">
        <w:rPr>
          <w:rFonts w:eastAsia="Calibri" w:cs="Times New Roman"/>
          <w:color w:val="000000" w:themeColor="text1"/>
          <w:szCs w:val="24"/>
        </w:rPr>
        <w:t xml:space="preserve">. </w:t>
      </w:r>
    </w:p>
    <w:p w14:paraId="7766FB12" w14:textId="72155C8D" w:rsidR="001A5A82" w:rsidRPr="00815B3E" w:rsidRDefault="00D71F1F" w:rsidP="007E42A5">
      <w:pPr>
        <w:spacing w:after="240"/>
        <w:rPr>
          <w:rFonts w:eastAsia="Calibri" w:cs="Times New Roman"/>
          <w:color w:val="000000" w:themeColor="text1"/>
          <w:szCs w:val="24"/>
        </w:rPr>
      </w:pPr>
      <w:r w:rsidRPr="00815B3E">
        <w:rPr>
          <w:rFonts w:eastAsia="Calibri" w:cs="Times New Roman"/>
          <w:color w:val="000000" w:themeColor="text1"/>
          <w:szCs w:val="24"/>
        </w:rPr>
        <w:t xml:space="preserve">Afskrivningsadgang giver mulighed for at fradrage værditab </w:t>
      </w:r>
      <w:r w:rsidR="00B63538" w:rsidRPr="00815B3E">
        <w:rPr>
          <w:rFonts w:eastAsia="Calibri" w:cs="Times New Roman"/>
          <w:color w:val="000000" w:themeColor="text1"/>
          <w:szCs w:val="24"/>
        </w:rPr>
        <w:t xml:space="preserve">på </w:t>
      </w:r>
      <w:r w:rsidRPr="00815B3E">
        <w:rPr>
          <w:rFonts w:eastAsia="Calibri" w:cs="Times New Roman"/>
          <w:color w:val="000000" w:themeColor="text1"/>
          <w:szCs w:val="24"/>
        </w:rPr>
        <w:t>en afskrivningsberettiget ejendom.</w:t>
      </w:r>
      <w:r w:rsidR="005D5E3E" w:rsidRPr="00815B3E">
        <w:rPr>
          <w:rFonts w:eastAsia="Calibri" w:cs="Times New Roman"/>
          <w:color w:val="000000" w:themeColor="text1"/>
          <w:szCs w:val="24"/>
        </w:rPr>
        <w:t xml:space="preserve"> </w:t>
      </w:r>
      <w:r w:rsidR="00881CF8" w:rsidRPr="00815B3E">
        <w:rPr>
          <w:rFonts w:eastAsia="Calibri" w:cs="Times New Roman"/>
          <w:color w:val="000000" w:themeColor="text1"/>
          <w:szCs w:val="24"/>
        </w:rPr>
        <w:t xml:space="preserve">Imidlertid </w:t>
      </w:r>
      <w:r w:rsidR="00B63538" w:rsidRPr="00815B3E">
        <w:rPr>
          <w:rFonts w:eastAsia="Calibri" w:cs="Times New Roman"/>
          <w:color w:val="000000" w:themeColor="text1"/>
          <w:szCs w:val="24"/>
        </w:rPr>
        <w:t>vil en</w:t>
      </w:r>
      <w:r w:rsidR="005D5E3E" w:rsidRPr="00815B3E">
        <w:rPr>
          <w:rFonts w:eastAsia="Calibri" w:cs="Times New Roman"/>
          <w:color w:val="000000" w:themeColor="text1"/>
          <w:szCs w:val="24"/>
        </w:rPr>
        <w:t xml:space="preserve"> værdiforringelse af en afskrivningsberettiget bygning eller installation reflektere sig i </w:t>
      </w:r>
      <w:r w:rsidR="00170BC9" w:rsidRPr="00815B3E">
        <w:rPr>
          <w:rFonts w:eastAsia="Calibri" w:cs="Times New Roman"/>
          <w:color w:val="000000" w:themeColor="text1"/>
          <w:szCs w:val="24"/>
        </w:rPr>
        <w:t xml:space="preserve">ejendommens </w:t>
      </w:r>
      <w:r w:rsidR="005D5E3E" w:rsidRPr="00815B3E">
        <w:rPr>
          <w:rFonts w:eastAsia="Calibri" w:cs="Times New Roman"/>
          <w:color w:val="000000" w:themeColor="text1"/>
          <w:szCs w:val="24"/>
        </w:rPr>
        <w:t xml:space="preserve">handelsværdi, som </w:t>
      </w:r>
      <w:r w:rsidR="00B63538" w:rsidRPr="00815B3E">
        <w:rPr>
          <w:rFonts w:eastAsia="Calibri" w:cs="Times New Roman"/>
          <w:color w:val="000000" w:themeColor="text1"/>
          <w:szCs w:val="24"/>
        </w:rPr>
        <w:t>efter forslaget vil</w:t>
      </w:r>
      <w:r w:rsidR="005D5E3E" w:rsidRPr="00815B3E">
        <w:rPr>
          <w:rFonts w:eastAsia="Calibri" w:cs="Times New Roman"/>
          <w:color w:val="000000" w:themeColor="text1"/>
          <w:szCs w:val="24"/>
        </w:rPr>
        <w:t xml:space="preserve"> udgøre beskatningsgrundlaget for den løbende lagerbeskatning af ejendomsavancen. </w:t>
      </w:r>
      <w:r w:rsidR="00B63538" w:rsidRPr="00815B3E">
        <w:rPr>
          <w:rFonts w:eastAsia="Calibri" w:cs="Times New Roman"/>
          <w:color w:val="000000" w:themeColor="text1"/>
          <w:szCs w:val="24"/>
        </w:rPr>
        <w:t>En fastholdelse af afskrivningsadgangen ved siden af en adgang til at fratrække</w:t>
      </w:r>
      <w:r w:rsidR="001A5A82" w:rsidRPr="00815B3E">
        <w:rPr>
          <w:rFonts w:eastAsia="Calibri" w:cs="Times New Roman"/>
          <w:color w:val="000000" w:themeColor="text1"/>
          <w:szCs w:val="24"/>
        </w:rPr>
        <w:t xml:space="preserve"> et faktisk</w:t>
      </w:r>
      <w:r w:rsidR="00B63538" w:rsidRPr="00815B3E">
        <w:rPr>
          <w:rFonts w:eastAsia="Calibri" w:cs="Times New Roman"/>
          <w:color w:val="000000" w:themeColor="text1"/>
          <w:szCs w:val="24"/>
        </w:rPr>
        <w:t xml:space="preserve"> værditab på ejendommen, ville reelt indebære, at det samme værdifald ville blive fratrukket to gange. Det er baggrunden for, at det foreslås at ophæve afskrivningsadgangen</w:t>
      </w:r>
      <w:r w:rsidR="001A5A82" w:rsidRPr="00815B3E">
        <w:rPr>
          <w:rFonts w:eastAsia="Calibri" w:cs="Times New Roman"/>
          <w:color w:val="000000" w:themeColor="text1"/>
          <w:szCs w:val="24"/>
        </w:rPr>
        <w:t xml:space="preserve"> for ejendomme, der omfattes af den foreslåede lagerbeskatning</w:t>
      </w:r>
      <w:r w:rsidR="005D5E3E" w:rsidRPr="00815B3E">
        <w:rPr>
          <w:rFonts w:eastAsia="Calibri" w:cs="Times New Roman"/>
          <w:color w:val="000000" w:themeColor="text1"/>
          <w:szCs w:val="24"/>
        </w:rPr>
        <w:t>.</w:t>
      </w:r>
    </w:p>
    <w:p w14:paraId="3DE9408D" w14:textId="70BA67ED" w:rsidR="001A5A82" w:rsidRPr="00815B3E" w:rsidRDefault="001A5A82" w:rsidP="001A5A82">
      <w:pPr>
        <w:spacing w:after="240"/>
        <w:rPr>
          <w:rFonts w:eastAsia="Calibri" w:cs="Times New Roman"/>
          <w:color w:val="000000" w:themeColor="text1"/>
          <w:szCs w:val="24"/>
        </w:rPr>
      </w:pPr>
      <w:r w:rsidRPr="00815B3E">
        <w:rPr>
          <w:rFonts w:eastAsia="Calibri" w:cs="Times New Roman"/>
          <w:color w:val="000000" w:themeColor="text1"/>
          <w:szCs w:val="24"/>
        </w:rPr>
        <w:t>Det foreslås</w:t>
      </w:r>
      <w:r w:rsidR="00F90356" w:rsidRPr="00815B3E">
        <w:rPr>
          <w:rFonts w:eastAsia="Calibri" w:cs="Times New Roman"/>
          <w:color w:val="000000" w:themeColor="text1"/>
          <w:szCs w:val="24"/>
        </w:rPr>
        <w:t>,</w:t>
      </w:r>
      <w:r w:rsidRPr="00815B3E">
        <w:rPr>
          <w:rFonts w:eastAsia="Calibri" w:cs="Times New Roman"/>
          <w:color w:val="000000" w:themeColor="text1"/>
          <w:szCs w:val="24"/>
        </w:rPr>
        <w:t xml:space="preserve"> at årets ejendomsavancer eller -tab opgjort efter lagerprincippet skal medregnes </w:t>
      </w:r>
      <w:r w:rsidR="00270DE5">
        <w:rPr>
          <w:rFonts w:eastAsia="Calibri" w:cs="Times New Roman"/>
          <w:color w:val="000000" w:themeColor="text1"/>
          <w:szCs w:val="24"/>
        </w:rPr>
        <w:t>ved opgørelsen af</w:t>
      </w:r>
      <w:r w:rsidRPr="00815B3E">
        <w:rPr>
          <w:rFonts w:eastAsia="Calibri" w:cs="Times New Roman"/>
          <w:color w:val="000000" w:themeColor="text1"/>
          <w:szCs w:val="24"/>
        </w:rPr>
        <w:t xml:space="preserve"> den skattepligtiges skattepligtige indkomst. Det foreslås således, at </w:t>
      </w:r>
      <w:r w:rsidR="00240D3A" w:rsidRPr="00815B3E">
        <w:rPr>
          <w:rFonts w:eastAsia="Calibri" w:cs="Times New Roman"/>
          <w:color w:val="000000" w:themeColor="text1"/>
          <w:szCs w:val="24"/>
        </w:rPr>
        <w:t xml:space="preserve">gevinst i form af værdistigninger beskattes, og at </w:t>
      </w:r>
      <w:r w:rsidRPr="00815B3E">
        <w:rPr>
          <w:rFonts w:eastAsia="Calibri" w:cs="Times New Roman"/>
          <w:color w:val="000000" w:themeColor="text1"/>
          <w:szCs w:val="24"/>
        </w:rPr>
        <w:t>tab</w:t>
      </w:r>
      <w:r w:rsidR="00240D3A" w:rsidRPr="00815B3E">
        <w:rPr>
          <w:rFonts w:eastAsia="Calibri" w:cs="Times New Roman"/>
          <w:color w:val="000000" w:themeColor="text1"/>
          <w:szCs w:val="24"/>
        </w:rPr>
        <w:t xml:space="preserve"> i form af værdinedgang</w:t>
      </w:r>
      <w:r w:rsidRPr="00815B3E">
        <w:rPr>
          <w:rFonts w:eastAsia="Calibri" w:cs="Times New Roman"/>
          <w:color w:val="000000" w:themeColor="text1"/>
          <w:szCs w:val="24"/>
        </w:rPr>
        <w:t xml:space="preserve"> er fradragsberettigede i anden skattepligtig indkomst.</w:t>
      </w:r>
      <w:r w:rsidR="00F90356" w:rsidRPr="00815B3E">
        <w:rPr>
          <w:rFonts w:eastAsia="Calibri" w:cs="Times New Roman"/>
          <w:color w:val="000000" w:themeColor="text1"/>
          <w:szCs w:val="24"/>
        </w:rPr>
        <w:t xml:space="preserve"> Beskatningen sker med den almindelige selskabsskattesats på 22 pct.</w:t>
      </w:r>
    </w:p>
    <w:p w14:paraId="767C85ED" w14:textId="22E5E238" w:rsidR="001A5A82" w:rsidRPr="00815B3E" w:rsidRDefault="001A5A82" w:rsidP="001A5A82">
      <w:pPr>
        <w:spacing w:after="240"/>
        <w:rPr>
          <w:rFonts w:eastAsia="Calibri" w:cs="Times New Roman"/>
          <w:color w:val="000000" w:themeColor="text1"/>
          <w:szCs w:val="24"/>
        </w:rPr>
      </w:pPr>
      <w:r w:rsidRPr="00815B3E">
        <w:rPr>
          <w:rFonts w:eastAsia="Calibri" w:cs="Times New Roman"/>
          <w:color w:val="000000" w:themeColor="text1"/>
          <w:szCs w:val="24"/>
        </w:rPr>
        <w:t xml:space="preserve">For ejendomme, der hidtil har været beskattet efter realisationsprincippet, men som er overgået til lagerbeskatning efter forslaget, foreslås det at koble en fremtidig beskatning af gevinster og tab efter den foreslåede lagerbeskatning sammen med </w:t>
      </w:r>
      <w:proofErr w:type="spellStart"/>
      <w:r w:rsidRPr="00815B3E">
        <w:rPr>
          <w:rFonts w:eastAsia="Calibri" w:cs="Times New Roman"/>
          <w:color w:val="000000" w:themeColor="text1"/>
          <w:szCs w:val="24"/>
        </w:rPr>
        <w:t>urealiserede</w:t>
      </w:r>
      <w:proofErr w:type="spellEnd"/>
      <w:r w:rsidRPr="00815B3E">
        <w:rPr>
          <w:rFonts w:eastAsia="Calibri" w:cs="Times New Roman"/>
          <w:color w:val="000000" w:themeColor="text1"/>
          <w:szCs w:val="24"/>
        </w:rPr>
        <w:t xml:space="preserve"> gevinster og tab efter realisationsprincippet, som måtte hvile på ejendommen i form af </w:t>
      </w:r>
      <w:r w:rsidR="0065565A" w:rsidRPr="00815B3E">
        <w:rPr>
          <w:rFonts w:eastAsia="Calibri" w:cs="Times New Roman"/>
          <w:color w:val="000000" w:themeColor="text1"/>
          <w:szCs w:val="24"/>
        </w:rPr>
        <w:t>d</w:t>
      </w:r>
      <w:r w:rsidRPr="00815B3E">
        <w:rPr>
          <w:rFonts w:eastAsia="Calibri" w:cs="Times New Roman"/>
          <w:color w:val="000000" w:themeColor="text1"/>
          <w:szCs w:val="24"/>
        </w:rPr>
        <w:t>en realisationssaldo</w:t>
      </w:r>
      <w:r w:rsidR="0065565A" w:rsidRPr="00815B3E">
        <w:rPr>
          <w:rFonts w:eastAsia="Calibri" w:cs="Times New Roman"/>
          <w:color w:val="000000" w:themeColor="text1"/>
          <w:szCs w:val="24"/>
        </w:rPr>
        <w:t>, der efter forslaget skal opgøres på tidspunktet for overgang til lagerbeskatning</w:t>
      </w:r>
      <w:r w:rsidRPr="00815B3E">
        <w:rPr>
          <w:rFonts w:eastAsia="Calibri" w:cs="Times New Roman"/>
          <w:color w:val="000000" w:themeColor="text1"/>
          <w:szCs w:val="24"/>
        </w:rPr>
        <w:t xml:space="preserve">. </w:t>
      </w:r>
    </w:p>
    <w:p w14:paraId="7943EDBE" w14:textId="528EF4D1" w:rsidR="001A5A82" w:rsidRPr="00815B3E" w:rsidRDefault="001A5A82" w:rsidP="0065565A">
      <w:pPr>
        <w:spacing w:after="240"/>
        <w:rPr>
          <w:rFonts w:eastAsia="Calibri" w:cs="Times New Roman"/>
          <w:color w:val="000000" w:themeColor="text1"/>
          <w:szCs w:val="24"/>
        </w:rPr>
      </w:pPr>
      <w:r w:rsidRPr="00815B3E">
        <w:rPr>
          <w:rFonts w:eastAsia="Calibri" w:cs="Times New Roman"/>
          <w:color w:val="000000" w:themeColor="text1"/>
          <w:szCs w:val="24"/>
        </w:rPr>
        <w:t xml:space="preserve">Det foreslås, at hvis realisationssaldoen er negativ og således viser, at der eksisterer et </w:t>
      </w:r>
      <w:proofErr w:type="spellStart"/>
      <w:r w:rsidRPr="00815B3E">
        <w:rPr>
          <w:rFonts w:eastAsia="Calibri" w:cs="Times New Roman"/>
          <w:color w:val="000000" w:themeColor="text1"/>
          <w:szCs w:val="24"/>
        </w:rPr>
        <w:t>urealiseret</w:t>
      </w:r>
      <w:proofErr w:type="spellEnd"/>
      <w:r w:rsidRPr="00815B3E">
        <w:rPr>
          <w:rFonts w:eastAsia="Calibri" w:cs="Times New Roman"/>
          <w:color w:val="000000" w:themeColor="text1"/>
          <w:szCs w:val="24"/>
        </w:rPr>
        <w:t xml:space="preserve"> tab</w:t>
      </w:r>
      <w:r w:rsidR="0065565A" w:rsidRPr="00815B3E">
        <w:rPr>
          <w:rFonts w:eastAsia="Calibri" w:cs="Times New Roman"/>
          <w:color w:val="000000" w:themeColor="text1"/>
          <w:szCs w:val="24"/>
        </w:rPr>
        <w:t xml:space="preserve"> på ejendommen</w:t>
      </w:r>
      <w:r w:rsidRPr="00815B3E">
        <w:rPr>
          <w:rFonts w:eastAsia="Calibri" w:cs="Times New Roman"/>
          <w:color w:val="000000" w:themeColor="text1"/>
          <w:szCs w:val="24"/>
        </w:rPr>
        <w:t xml:space="preserve"> efter realisationsprincippet, så skal dette tab først modregnes i en efterfølgende gevinst efter lagerprincippet, før en resterende gevinst efter lagerprincippet skal beskattes.</w:t>
      </w:r>
    </w:p>
    <w:p w14:paraId="5F1FF820" w14:textId="1065D535" w:rsidR="0065565A" w:rsidRPr="00A2366D" w:rsidRDefault="0065565A" w:rsidP="0065565A">
      <w:pPr>
        <w:spacing w:after="240"/>
        <w:rPr>
          <w:rFonts w:eastAsia="Calibri" w:cs="Times New Roman"/>
          <w:color w:val="000000" w:themeColor="text1"/>
          <w:szCs w:val="24"/>
        </w:rPr>
      </w:pPr>
      <w:bookmarkStart w:id="146" w:name="_Hlk107566231"/>
      <w:r w:rsidRPr="00815B3E">
        <w:rPr>
          <w:rFonts w:eastAsia="Calibri" w:cs="Times New Roman"/>
          <w:color w:val="000000" w:themeColor="text1"/>
          <w:szCs w:val="24"/>
        </w:rPr>
        <w:t xml:space="preserve">Det foreslås tilsvarende, at hvis realisationssaldoen er positiv og således viser, at der eksisterer en </w:t>
      </w:r>
      <w:proofErr w:type="spellStart"/>
      <w:r w:rsidRPr="00815B3E">
        <w:rPr>
          <w:rFonts w:eastAsia="Calibri" w:cs="Times New Roman"/>
          <w:color w:val="000000" w:themeColor="text1"/>
          <w:szCs w:val="24"/>
        </w:rPr>
        <w:t>urealiseret</w:t>
      </w:r>
      <w:proofErr w:type="spellEnd"/>
      <w:r w:rsidRPr="00815B3E">
        <w:rPr>
          <w:rFonts w:eastAsia="Calibri" w:cs="Times New Roman"/>
          <w:color w:val="000000" w:themeColor="text1"/>
          <w:szCs w:val="24"/>
        </w:rPr>
        <w:t xml:space="preserve"> gevinst på ejendommen efter realisationsprincippet, så skal denne gevinst først modregnes i et efterfølgende tab efter lagerprincippet, før et resterende tab efter lagerprincippet kan fratrækkes. </w:t>
      </w:r>
      <w:bookmarkEnd w:id="146"/>
    </w:p>
    <w:p w14:paraId="126F3D58" w14:textId="6DFC092D" w:rsidR="009234D0" w:rsidRPr="00815B3E" w:rsidRDefault="0065565A" w:rsidP="007E42A5">
      <w:pPr>
        <w:spacing w:after="240"/>
        <w:rPr>
          <w:rFonts w:eastAsia="Calibri" w:cs="Times New Roman"/>
          <w:color w:val="000000" w:themeColor="text1"/>
          <w:szCs w:val="24"/>
        </w:rPr>
      </w:pPr>
      <w:r w:rsidRPr="00815B3E">
        <w:rPr>
          <w:rFonts w:eastAsia="Calibri" w:cs="Times New Roman"/>
          <w:color w:val="000000" w:themeColor="text1"/>
          <w:szCs w:val="24"/>
        </w:rPr>
        <w:t xml:space="preserve">Denne kobling af hidtidige </w:t>
      </w:r>
      <w:proofErr w:type="spellStart"/>
      <w:r w:rsidRPr="00815B3E">
        <w:rPr>
          <w:rFonts w:eastAsia="Calibri" w:cs="Times New Roman"/>
          <w:color w:val="000000" w:themeColor="text1"/>
          <w:szCs w:val="24"/>
        </w:rPr>
        <w:t>urealiserede</w:t>
      </w:r>
      <w:proofErr w:type="spellEnd"/>
      <w:r w:rsidRPr="00815B3E">
        <w:rPr>
          <w:rFonts w:eastAsia="Calibri" w:cs="Times New Roman"/>
          <w:color w:val="000000" w:themeColor="text1"/>
          <w:szCs w:val="24"/>
        </w:rPr>
        <w:t xml:space="preserve"> gevinster og tab på ejendommen og fremtidige gevinster og tab efter det foreslåede lagerprincip på samme ejendom har til formål at sikre imod, at selskabet beskattes </w:t>
      </w:r>
      <w:r w:rsidR="00240D3A" w:rsidRPr="00815B3E">
        <w:rPr>
          <w:rFonts w:eastAsia="Calibri" w:cs="Times New Roman"/>
          <w:color w:val="000000" w:themeColor="text1"/>
          <w:szCs w:val="24"/>
        </w:rPr>
        <w:t xml:space="preserve">af en værdistigning </w:t>
      </w:r>
      <w:r w:rsidRPr="00815B3E">
        <w:rPr>
          <w:rFonts w:eastAsia="Calibri" w:cs="Times New Roman"/>
          <w:color w:val="000000" w:themeColor="text1"/>
          <w:szCs w:val="24"/>
        </w:rPr>
        <w:t xml:space="preserve">efter lagerprincippet, selv om der samlet set har været tab på ejendommen. </w:t>
      </w:r>
      <w:r w:rsidRPr="00815B3E">
        <w:rPr>
          <w:rFonts w:eastAsia="Calibri" w:cs="Times New Roman"/>
          <w:color w:val="000000" w:themeColor="text1"/>
          <w:szCs w:val="24"/>
        </w:rPr>
        <w:lastRenderedPageBreak/>
        <w:t>Denne kobling yder endvidere et vist værn imod, at der fastsættes for høje indgangsværdier ved overgangen til lagerbeskatning.</w:t>
      </w:r>
    </w:p>
    <w:p w14:paraId="3DE43151" w14:textId="77777777" w:rsidR="0065565A" w:rsidRPr="00815B3E" w:rsidRDefault="0065565A" w:rsidP="007E42A5">
      <w:pPr>
        <w:spacing w:after="240"/>
        <w:rPr>
          <w:rFonts w:eastAsia="Calibri" w:cs="Times New Roman"/>
          <w:color w:val="000000" w:themeColor="text1"/>
          <w:szCs w:val="24"/>
        </w:rPr>
      </w:pPr>
    </w:p>
    <w:p w14:paraId="43E71A43" w14:textId="2DB1194A" w:rsidR="007E42A5" w:rsidRPr="00815B3E" w:rsidRDefault="00264BFD" w:rsidP="007E42A5">
      <w:pPr>
        <w:pStyle w:val="Overskrift2"/>
        <w:rPr>
          <w:rFonts w:cs="Times New Roman"/>
          <w:color w:val="000000" w:themeColor="text1"/>
          <w:sz w:val="24"/>
          <w:szCs w:val="24"/>
        </w:rPr>
      </w:pPr>
      <w:bookmarkStart w:id="147" w:name="_Toc526155549"/>
      <w:bookmarkStart w:id="148" w:name="_Toc526253986"/>
      <w:bookmarkStart w:id="149" w:name="_Toc526348411"/>
      <w:bookmarkStart w:id="150" w:name="_Toc526374602"/>
      <w:bookmarkStart w:id="151" w:name="_Toc526374618"/>
      <w:bookmarkStart w:id="152" w:name="_Toc526406481"/>
      <w:bookmarkStart w:id="153" w:name="_Toc526409507"/>
      <w:bookmarkStart w:id="154" w:name="_Toc526491406"/>
      <w:bookmarkStart w:id="155" w:name="_Toc526505518"/>
      <w:bookmarkStart w:id="156" w:name="_Toc526756610"/>
      <w:r>
        <w:rPr>
          <w:rFonts w:cs="Times New Roman"/>
          <w:color w:val="000000" w:themeColor="text1"/>
          <w:sz w:val="24"/>
          <w:szCs w:val="24"/>
        </w:rPr>
        <w:t>2</w:t>
      </w:r>
      <w:r w:rsidR="007E42A5" w:rsidRPr="00815B3E">
        <w:rPr>
          <w:rFonts w:cs="Times New Roman"/>
          <w:color w:val="000000" w:themeColor="text1"/>
          <w:sz w:val="24"/>
          <w:szCs w:val="24"/>
        </w:rPr>
        <w:t xml:space="preserve">.2. </w:t>
      </w:r>
      <w:bookmarkEnd w:id="147"/>
      <w:bookmarkEnd w:id="148"/>
      <w:bookmarkEnd w:id="149"/>
      <w:bookmarkEnd w:id="150"/>
      <w:bookmarkEnd w:id="151"/>
      <w:bookmarkEnd w:id="152"/>
      <w:bookmarkEnd w:id="153"/>
      <w:bookmarkEnd w:id="154"/>
      <w:bookmarkEnd w:id="155"/>
      <w:bookmarkEnd w:id="156"/>
      <w:r w:rsidR="00E053D7" w:rsidRPr="00815B3E">
        <w:rPr>
          <w:rFonts w:cs="Times New Roman"/>
          <w:color w:val="000000" w:themeColor="text1"/>
          <w:sz w:val="24"/>
          <w:szCs w:val="24"/>
        </w:rPr>
        <w:t>Fastholdelse af loftet over investorfradraget</w:t>
      </w:r>
    </w:p>
    <w:p w14:paraId="2D0192F6" w14:textId="77AC1039" w:rsidR="007E42A5" w:rsidRPr="00815B3E" w:rsidRDefault="00264BFD" w:rsidP="009A638A">
      <w:pPr>
        <w:pStyle w:val="Undertitel"/>
        <w:spacing w:after="0"/>
        <w:rPr>
          <w:color w:val="000000" w:themeColor="text1"/>
        </w:rPr>
      </w:pPr>
      <w:bookmarkStart w:id="157" w:name="_Toc505690195"/>
      <w:bookmarkStart w:id="158" w:name="_Toc505701748"/>
      <w:bookmarkStart w:id="159" w:name="_Toc505759540"/>
      <w:bookmarkStart w:id="160" w:name="_Toc505759557"/>
      <w:bookmarkStart w:id="161" w:name="_Toc505762650"/>
      <w:bookmarkStart w:id="162" w:name="_Toc505785990"/>
      <w:bookmarkStart w:id="163" w:name="_Toc506799575"/>
      <w:bookmarkStart w:id="164" w:name="_Toc506799592"/>
      <w:bookmarkStart w:id="165" w:name="_Toc506894551"/>
      <w:bookmarkStart w:id="166" w:name="_Toc507486288"/>
      <w:bookmarkStart w:id="167" w:name="_Toc515271227"/>
      <w:bookmarkStart w:id="168" w:name="_Toc515271550"/>
      <w:bookmarkStart w:id="169" w:name="_Toc515271578"/>
      <w:bookmarkStart w:id="170" w:name="_Toc515280474"/>
      <w:bookmarkStart w:id="171" w:name="_Toc515280625"/>
      <w:bookmarkStart w:id="172" w:name="_Toc515352777"/>
      <w:bookmarkStart w:id="173" w:name="_Toc515540850"/>
      <w:bookmarkStart w:id="174" w:name="_Toc515543686"/>
      <w:bookmarkStart w:id="175" w:name="_Toc515543871"/>
      <w:bookmarkStart w:id="176" w:name="_Toc515551672"/>
      <w:bookmarkStart w:id="177" w:name="_Toc515627614"/>
      <w:bookmarkStart w:id="178" w:name="_Toc516039924"/>
      <w:bookmarkStart w:id="179" w:name="_Toc516155347"/>
      <w:bookmarkStart w:id="180" w:name="_Toc516490248"/>
      <w:bookmarkStart w:id="181" w:name="_Toc518037930"/>
      <w:bookmarkStart w:id="182" w:name="_Toc524599578"/>
      <w:bookmarkStart w:id="183" w:name="_Toc526154931"/>
      <w:bookmarkStart w:id="184" w:name="_Toc526155477"/>
      <w:bookmarkStart w:id="185" w:name="_Toc526155550"/>
      <w:bookmarkStart w:id="186" w:name="_Toc526253987"/>
      <w:bookmarkStart w:id="187" w:name="_Toc526348412"/>
      <w:bookmarkStart w:id="188" w:name="_Toc526374603"/>
      <w:bookmarkStart w:id="189" w:name="_Toc526374619"/>
      <w:bookmarkStart w:id="190" w:name="_Toc526406482"/>
      <w:bookmarkStart w:id="191" w:name="_Toc526409508"/>
      <w:bookmarkStart w:id="192" w:name="_Toc526491407"/>
      <w:bookmarkStart w:id="193" w:name="_Toc526505519"/>
      <w:bookmarkStart w:id="194" w:name="_Toc526756611"/>
      <w:r>
        <w:rPr>
          <w:color w:val="000000" w:themeColor="text1"/>
        </w:rPr>
        <w:t>2</w:t>
      </w:r>
      <w:r w:rsidR="007E42A5" w:rsidRPr="00815B3E">
        <w:rPr>
          <w:color w:val="000000" w:themeColor="text1"/>
        </w:rPr>
        <w:t>.2.1. Gældende ret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2EA2E764" w14:textId="326C5770" w:rsidR="00C86063" w:rsidRPr="00815B3E" w:rsidRDefault="00C86063" w:rsidP="009A638A">
      <w:pPr>
        <w:rPr>
          <w:color w:val="000000" w:themeColor="text1"/>
        </w:rPr>
      </w:pPr>
      <w:r w:rsidRPr="00815B3E">
        <w:rPr>
          <w:color w:val="000000" w:themeColor="text1"/>
        </w:rPr>
        <w:t>I</w:t>
      </w:r>
      <w:r w:rsidR="009A638A" w:rsidRPr="00815B3E">
        <w:rPr>
          <w:color w:val="000000" w:themeColor="text1"/>
        </w:rPr>
        <w:t xml:space="preserve">nvestorfradraget </w:t>
      </w:r>
      <w:r w:rsidRPr="00815B3E">
        <w:rPr>
          <w:color w:val="000000" w:themeColor="text1"/>
        </w:rPr>
        <w:t>blev indført på baggrund af ”</w:t>
      </w:r>
      <w:r w:rsidR="009A638A" w:rsidRPr="00815B3E">
        <w:rPr>
          <w:color w:val="000000" w:themeColor="text1"/>
        </w:rPr>
        <w:t>Aftale om erhvervs- og iværksætterinitiativer</w:t>
      </w:r>
      <w:r w:rsidRPr="00815B3E">
        <w:rPr>
          <w:color w:val="000000" w:themeColor="text1"/>
        </w:rPr>
        <w:t>”</w:t>
      </w:r>
      <w:r w:rsidR="009C5686" w:rsidRPr="00815B3E">
        <w:rPr>
          <w:color w:val="000000" w:themeColor="text1"/>
        </w:rPr>
        <w:t xml:space="preserve"> (Venstre, Liberal Alliance</w:t>
      </w:r>
      <w:r w:rsidRPr="00815B3E">
        <w:rPr>
          <w:color w:val="000000" w:themeColor="text1"/>
        </w:rPr>
        <w:t>,</w:t>
      </w:r>
      <w:r w:rsidR="009C5686" w:rsidRPr="00815B3E">
        <w:rPr>
          <w:color w:val="000000" w:themeColor="text1"/>
        </w:rPr>
        <w:t xml:space="preserve"> Det Konservative Folkeparti, Dansk Folkeparti og Radikale Venstre)</w:t>
      </w:r>
      <w:r w:rsidR="009A638A" w:rsidRPr="00815B3E">
        <w:rPr>
          <w:color w:val="000000" w:themeColor="text1"/>
        </w:rPr>
        <w:t xml:space="preserve"> fra </w:t>
      </w:r>
      <w:r w:rsidR="00270DE5">
        <w:rPr>
          <w:color w:val="000000" w:themeColor="text1"/>
        </w:rPr>
        <w:t xml:space="preserve">12. </w:t>
      </w:r>
      <w:r w:rsidR="009A638A" w:rsidRPr="00815B3E">
        <w:rPr>
          <w:color w:val="000000" w:themeColor="text1"/>
        </w:rPr>
        <w:t>november 2017</w:t>
      </w:r>
      <w:r w:rsidRPr="00815B3E">
        <w:rPr>
          <w:color w:val="000000" w:themeColor="text1"/>
        </w:rPr>
        <w:t>,</w:t>
      </w:r>
      <w:r w:rsidR="009A638A" w:rsidRPr="00815B3E">
        <w:rPr>
          <w:color w:val="000000" w:themeColor="text1"/>
        </w:rPr>
        <w:t xml:space="preserve"> og </w:t>
      </w:r>
      <w:r w:rsidRPr="00815B3E">
        <w:rPr>
          <w:color w:val="000000" w:themeColor="text1"/>
        </w:rPr>
        <w:t xml:space="preserve">reglerne herom har været gældende siden </w:t>
      </w:r>
      <w:r w:rsidR="009A638A" w:rsidRPr="00815B3E">
        <w:rPr>
          <w:color w:val="000000" w:themeColor="text1"/>
        </w:rPr>
        <w:t xml:space="preserve">den 1. januar 2019. </w:t>
      </w:r>
    </w:p>
    <w:p w14:paraId="152D783F" w14:textId="0C6AB9BE" w:rsidR="00C86063" w:rsidRPr="00815B3E" w:rsidRDefault="00C86063" w:rsidP="009A638A">
      <w:pPr>
        <w:rPr>
          <w:color w:val="000000" w:themeColor="text1"/>
        </w:rPr>
      </w:pPr>
    </w:p>
    <w:p w14:paraId="7E00E889" w14:textId="71EDDF31" w:rsidR="00503D48" w:rsidRPr="00815B3E" w:rsidRDefault="00C86063" w:rsidP="009A638A">
      <w:pPr>
        <w:rPr>
          <w:color w:val="000000" w:themeColor="text1"/>
        </w:rPr>
      </w:pPr>
      <w:r w:rsidRPr="00815B3E">
        <w:rPr>
          <w:color w:val="000000" w:themeColor="text1"/>
        </w:rPr>
        <w:t xml:space="preserve">Formålet med investorfradraget </w:t>
      </w:r>
      <w:r w:rsidR="008743F0" w:rsidRPr="00815B3E">
        <w:rPr>
          <w:color w:val="000000" w:themeColor="text1"/>
        </w:rPr>
        <w:t>er</w:t>
      </w:r>
      <w:r w:rsidRPr="00815B3E">
        <w:rPr>
          <w:color w:val="000000" w:themeColor="text1"/>
        </w:rPr>
        <w:t xml:space="preserve"> at styrke iværksætterkulturen ved at give visse virksomheder lettere adgang til risikovillig kapital. </w:t>
      </w:r>
      <w:r w:rsidR="00901330" w:rsidRPr="00815B3E">
        <w:rPr>
          <w:color w:val="000000" w:themeColor="text1"/>
        </w:rPr>
        <w:t xml:space="preserve">Investorfradraget indebærer dermed statsstøtte til de pågældende små og mellemstore virksomheder, og reglerne er derfor udformet under hensyntagen til EU’s gruppefritagelsesforordning, herunder forordningens artikel 21 om risikofinansieringsstøtte til </w:t>
      </w:r>
      <w:r w:rsidR="00676918" w:rsidRPr="00815B3E">
        <w:rPr>
          <w:color w:val="000000" w:themeColor="text1"/>
        </w:rPr>
        <w:t>visse</w:t>
      </w:r>
      <w:r w:rsidR="00901330" w:rsidRPr="00815B3E">
        <w:rPr>
          <w:color w:val="000000" w:themeColor="text1"/>
        </w:rPr>
        <w:t xml:space="preserve"> virksomheder.</w:t>
      </w:r>
      <w:r w:rsidR="00827186" w:rsidRPr="00815B3E">
        <w:rPr>
          <w:color w:val="000000" w:themeColor="text1"/>
        </w:rPr>
        <w:t xml:space="preserve"> </w:t>
      </w:r>
      <w:r w:rsidRPr="00815B3E">
        <w:rPr>
          <w:color w:val="000000" w:themeColor="text1"/>
        </w:rPr>
        <w:t xml:space="preserve">Efter gældende regler </w:t>
      </w:r>
      <w:r w:rsidR="00CC41C4" w:rsidRPr="00815B3E">
        <w:rPr>
          <w:color w:val="000000" w:themeColor="text1"/>
        </w:rPr>
        <w:t xml:space="preserve">om investorfradraget </w:t>
      </w:r>
      <w:r w:rsidRPr="00815B3E">
        <w:rPr>
          <w:color w:val="000000" w:themeColor="text1"/>
        </w:rPr>
        <w:t xml:space="preserve">kan personer fradrage en del af deres investeringer, hvorved </w:t>
      </w:r>
      <w:r w:rsidR="00503D48" w:rsidRPr="00815B3E">
        <w:rPr>
          <w:color w:val="000000" w:themeColor="text1"/>
        </w:rPr>
        <w:t xml:space="preserve">der </w:t>
      </w:r>
      <w:r w:rsidR="009A638A" w:rsidRPr="00815B3E">
        <w:rPr>
          <w:color w:val="000000" w:themeColor="text1"/>
        </w:rPr>
        <w:t>erhverve</w:t>
      </w:r>
      <w:r w:rsidR="00503D48" w:rsidRPr="00815B3E">
        <w:rPr>
          <w:color w:val="000000" w:themeColor="text1"/>
        </w:rPr>
        <w:t>s</w:t>
      </w:r>
      <w:r w:rsidR="009A638A" w:rsidRPr="00815B3E">
        <w:rPr>
          <w:color w:val="000000" w:themeColor="text1"/>
        </w:rPr>
        <w:t xml:space="preserve"> kapitalandele i visse små og mellemstore unoterede selskaber, der befinder sig i en opstart</w:t>
      </w:r>
      <w:r w:rsidR="00503D48" w:rsidRPr="00815B3E">
        <w:rPr>
          <w:color w:val="000000" w:themeColor="text1"/>
        </w:rPr>
        <w:t>s</w:t>
      </w:r>
      <w:r w:rsidR="009A638A" w:rsidRPr="00815B3E">
        <w:rPr>
          <w:color w:val="000000" w:themeColor="text1"/>
        </w:rPr>
        <w:t>- eller vækstfase</w:t>
      </w:r>
      <w:r w:rsidR="00503D48" w:rsidRPr="00815B3E">
        <w:rPr>
          <w:color w:val="000000" w:themeColor="text1"/>
        </w:rPr>
        <w:t xml:space="preserve"> (målselskaber)</w:t>
      </w:r>
      <w:r w:rsidR="009A638A" w:rsidRPr="00815B3E">
        <w:rPr>
          <w:color w:val="000000" w:themeColor="text1"/>
        </w:rPr>
        <w:t xml:space="preserve">. </w:t>
      </w:r>
      <w:r w:rsidR="00503D48" w:rsidRPr="00815B3E">
        <w:rPr>
          <w:color w:val="000000" w:themeColor="text1"/>
        </w:rPr>
        <w:t>Indskuddet af kapital kan ske enten ved direkte investering i et målselskab eller ved indirekte investering gennem en særlig type alternativ investeringsfond, en investorfradragsfond.</w:t>
      </w:r>
    </w:p>
    <w:p w14:paraId="20548D35" w14:textId="77777777" w:rsidR="00503D48" w:rsidRPr="00815B3E" w:rsidRDefault="00503D48" w:rsidP="009A638A">
      <w:pPr>
        <w:rPr>
          <w:color w:val="000000" w:themeColor="text1"/>
        </w:rPr>
      </w:pPr>
    </w:p>
    <w:p w14:paraId="5C4746F2" w14:textId="354A6D21" w:rsidR="009A638A" w:rsidRPr="00815B3E" w:rsidRDefault="00503D48" w:rsidP="009A638A">
      <w:pPr>
        <w:rPr>
          <w:color w:val="000000" w:themeColor="text1"/>
        </w:rPr>
      </w:pPr>
      <w:r w:rsidRPr="00815B3E">
        <w:rPr>
          <w:color w:val="000000" w:themeColor="text1"/>
        </w:rPr>
        <w:t>P</w:t>
      </w:r>
      <w:r w:rsidR="009A638A" w:rsidRPr="00815B3E">
        <w:rPr>
          <w:color w:val="000000" w:themeColor="text1"/>
        </w:rPr>
        <w:t xml:space="preserve">ersoner, der investerer direkte i de omfattede </w:t>
      </w:r>
      <w:r w:rsidRPr="00815B3E">
        <w:rPr>
          <w:color w:val="000000" w:themeColor="text1"/>
        </w:rPr>
        <w:t>målselskaber</w:t>
      </w:r>
      <w:r w:rsidR="00827186" w:rsidRPr="00815B3E">
        <w:rPr>
          <w:color w:val="000000" w:themeColor="text1"/>
        </w:rPr>
        <w:t>,</w:t>
      </w:r>
      <w:r w:rsidRPr="00815B3E">
        <w:rPr>
          <w:color w:val="000000" w:themeColor="text1"/>
        </w:rPr>
        <w:t xml:space="preserve"> kan</w:t>
      </w:r>
      <w:r w:rsidR="009A638A" w:rsidRPr="00815B3E">
        <w:rPr>
          <w:color w:val="000000" w:themeColor="text1"/>
        </w:rPr>
        <w:t xml:space="preserve"> årligt fradrage halvdelen af investeringer </w:t>
      </w:r>
      <w:r w:rsidRPr="00815B3E">
        <w:rPr>
          <w:color w:val="000000" w:themeColor="text1"/>
        </w:rPr>
        <w:t xml:space="preserve">for </w:t>
      </w:r>
      <w:r w:rsidR="009A638A" w:rsidRPr="00815B3E">
        <w:rPr>
          <w:color w:val="000000" w:themeColor="text1"/>
        </w:rPr>
        <w:t>op til 400.000 kr. i hvert af indkomstårene 2019 til 2022</w:t>
      </w:r>
      <w:r w:rsidRPr="00815B3E">
        <w:rPr>
          <w:color w:val="000000" w:themeColor="text1"/>
        </w:rPr>
        <w:t>, mens loftet fra og med 2023 forhøjes, så</w:t>
      </w:r>
      <w:r w:rsidR="009A638A" w:rsidRPr="00815B3E">
        <w:rPr>
          <w:color w:val="000000" w:themeColor="text1"/>
        </w:rPr>
        <w:t xml:space="preserve"> halvdelen af investeringer </w:t>
      </w:r>
      <w:r w:rsidRPr="00815B3E">
        <w:rPr>
          <w:color w:val="000000" w:themeColor="text1"/>
        </w:rPr>
        <w:t xml:space="preserve">for </w:t>
      </w:r>
      <w:r w:rsidR="009A638A" w:rsidRPr="00815B3E">
        <w:rPr>
          <w:color w:val="000000" w:themeColor="text1"/>
        </w:rPr>
        <w:t xml:space="preserve">op til 800.000 kr. </w:t>
      </w:r>
      <w:r w:rsidRPr="00815B3E">
        <w:rPr>
          <w:color w:val="000000" w:themeColor="text1"/>
        </w:rPr>
        <w:t>derefter kan fradrages</w:t>
      </w:r>
      <w:r w:rsidR="009A638A" w:rsidRPr="00815B3E">
        <w:rPr>
          <w:color w:val="000000" w:themeColor="text1"/>
        </w:rPr>
        <w:t xml:space="preserve">. Ved indirekte investeringer gennem investorfradragsfonde </w:t>
      </w:r>
      <w:r w:rsidRPr="00815B3E">
        <w:rPr>
          <w:color w:val="000000" w:themeColor="text1"/>
        </w:rPr>
        <w:t xml:space="preserve">kan </w:t>
      </w:r>
      <w:r w:rsidR="009A638A" w:rsidRPr="00815B3E">
        <w:rPr>
          <w:color w:val="000000" w:themeColor="text1"/>
        </w:rPr>
        <w:t xml:space="preserve">halvdelen af investeringer for op til 125.000 kr. fradrages i hvert af indkomstårene 2019 til 2022, </w:t>
      </w:r>
      <w:r w:rsidRPr="00815B3E">
        <w:rPr>
          <w:color w:val="000000" w:themeColor="text1"/>
        </w:rPr>
        <w:t xml:space="preserve">mens loftet fra og med 2023 forhøjes, så </w:t>
      </w:r>
      <w:r w:rsidR="009A638A" w:rsidRPr="00815B3E">
        <w:rPr>
          <w:color w:val="000000" w:themeColor="text1"/>
        </w:rPr>
        <w:t xml:space="preserve">halvdelen af investeringer for op til 250.000 kr. </w:t>
      </w:r>
      <w:r w:rsidRPr="00815B3E">
        <w:rPr>
          <w:color w:val="000000" w:themeColor="text1"/>
        </w:rPr>
        <w:t>derefter kan fradrages.</w:t>
      </w:r>
    </w:p>
    <w:p w14:paraId="0DCD3892" w14:textId="14FFF117" w:rsidR="00901330" w:rsidRPr="00815B3E" w:rsidRDefault="00901330" w:rsidP="009A638A">
      <w:pPr>
        <w:rPr>
          <w:color w:val="000000" w:themeColor="text1"/>
        </w:rPr>
      </w:pPr>
    </w:p>
    <w:p w14:paraId="319B570A" w14:textId="4D950F37" w:rsidR="00901330" w:rsidRPr="00815B3E" w:rsidRDefault="00901330" w:rsidP="00901330">
      <w:pPr>
        <w:rPr>
          <w:color w:val="000000" w:themeColor="text1"/>
        </w:rPr>
      </w:pPr>
      <w:r w:rsidRPr="00815B3E">
        <w:rPr>
          <w:color w:val="000000" w:themeColor="text1"/>
        </w:rPr>
        <w:t>Både ved direkte og indirekte investering er fradraget udformet, så det har en skatteværdi på 30 pct. i en gennemsnitskommune.</w:t>
      </w:r>
    </w:p>
    <w:p w14:paraId="33832476" w14:textId="692C8496" w:rsidR="009A638A" w:rsidRPr="00815B3E" w:rsidRDefault="009A638A" w:rsidP="009A638A">
      <w:pPr>
        <w:rPr>
          <w:color w:val="000000" w:themeColor="text1"/>
        </w:rPr>
      </w:pPr>
    </w:p>
    <w:p w14:paraId="306FB9CA" w14:textId="312563B2" w:rsidR="007E42A5" w:rsidRPr="00815B3E" w:rsidRDefault="00264BFD" w:rsidP="007E42A5">
      <w:pPr>
        <w:pStyle w:val="Undertitel"/>
        <w:spacing w:after="0"/>
        <w:rPr>
          <w:color w:val="000000" w:themeColor="text1"/>
        </w:rPr>
      </w:pPr>
      <w:bookmarkStart w:id="195" w:name="_Toc505690196"/>
      <w:bookmarkStart w:id="196" w:name="_Toc505701749"/>
      <w:bookmarkStart w:id="197" w:name="_Toc505759541"/>
      <w:bookmarkStart w:id="198" w:name="_Toc505759558"/>
      <w:bookmarkStart w:id="199" w:name="_Toc505762651"/>
      <w:bookmarkStart w:id="200" w:name="_Toc505785991"/>
      <w:bookmarkStart w:id="201" w:name="_Toc506799576"/>
      <w:bookmarkStart w:id="202" w:name="_Toc506799593"/>
      <w:bookmarkStart w:id="203" w:name="_Toc506894552"/>
      <w:bookmarkStart w:id="204" w:name="_Toc507486289"/>
      <w:bookmarkStart w:id="205" w:name="_Toc515271228"/>
      <w:bookmarkStart w:id="206" w:name="_Toc515271551"/>
      <w:bookmarkStart w:id="207" w:name="_Toc515271579"/>
      <w:bookmarkStart w:id="208" w:name="_Toc515280475"/>
      <w:bookmarkStart w:id="209" w:name="_Toc515280626"/>
      <w:bookmarkStart w:id="210" w:name="_Toc515352778"/>
      <w:bookmarkStart w:id="211" w:name="_Toc515540851"/>
      <w:bookmarkStart w:id="212" w:name="_Toc515543687"/>
      <w:bookmarkStart w:id="213" w:name="_Toc515543872"/>
      <w:bookmarkStart w:id="214" w:name="_Toc515551673"/>
      <w:bookmarkStart w:id="215" w:name="_Toc515627615"/>
      <w:bookmarkStart w:id="216" w:name="_Toc516039925"/>
      <w:bookmarkStart w:id="217" w:name="_Toc516155348"/>
      <w:bookmarkStart w:id="218" w:name="_Toc516490249"/>
      <w:bookmarkStart w:id="219" w:name="_Toc518037931"/>
      <w:bookmarkStart w:id="220" w:name="_Toc524599579"/>
      <w:bookmarkStart w:id="221" w:name="_Toc526154932"/>
      <w:bookmarkStart w:id="222" w:name="_Toc526155478"/>
      <w:bookmarkStart w:id="223" w:name="_Toc526155551"/>
      <w:bookmarkStart w:id="224" w:name="_Toc526253988"/>
      <w:bookmarkStart w:id="225" w:name="_Toc526348413"/>
      <w:bookmarkStart w:id="226" w:name="_Toc526374604"/>
      <w:bookmarkStart w:id="227" w:name="_Toc526374620"/>
      <w:bookmarkStart w:id="228" w:name="_Toc526406483"/>
      <w:bookmarkStart w:id="229" w:name="_Toc526409509"/>
      <w:bookmarkStart w:id="230" w:name="_Toc526491408"/>
      <w:bookmarkStart w:id="231" w:name="_Toc526505520"/>
      <w:bookmarkStart w:id="232" w:name="_Toc526756612"/>
      <w:r>
        <w:rPr>
          <w:color w:val="000000" w:themeColor="text1"/>
        </w:rPr>
        <w:t>2</w:t>
      </w:r>
      <w:r w:rsidR="007E42A5" w:rsidRPr="00815B3E">
        <w:rPr>
          <w:color w:val="000000" w:themeColor="text1"/>
        </w:rPr>
        <w:t xml:space="preserve">.2.2. </w:t>
      </w:r>
      <w:r w:rsidR="00E053D7" w:rsidRPr="00815B3E">
        <w:rPr>
          <w:color w:val="000000" w:themeColor="text1"/>
        </w:rPr>
        <w:t>Skatte</w:t>
      </w:r>
      <w:r w:rsidR="007E42A5" w:rsidRPr="00815B3E">
        <w:rPr>
          <w:color w:val="000000" w:themeColor="text1"/>
        </w:rPr>
        <w:t>ministeriets overvejelser</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555A0E6E" w14:textId="7D0E3401" w:rsidR="00503D48" w:rsidRPr="00815B3E" w:rsidRDefault="00503D48" w:rsidP="00503D48">
      <w:pPr>
        <w:spacing w:after="240"/>
        <w:rPr>
          <w:rFonts w:eastAsia="Calibri" w:cs="Times New Roman"/>
          <w:color w:val="000000" w:themeColor="text1"/>
          <w:szCs w:val="24"/>
        </w:rPr>
      </w:pPr>
      <w:r w:rsidRPr="00815B3E">
        <w:rPr>
          <w:rFonts w:eastAsia="Calibri" w:cs="Times New Roman"/>
          <w:color w:val="000000" w:themeColor="text1"/>
          <w:szCs w:val="24"/>
        </w:rPr>
        <w:t>Parterne i ”Aftale om en ny ret til tidlig pension” er enige om, at en del af finansieringen af aftalen skal ske ved, at de i dag gældende lofter over inve</w:t>
      </w:r>
      <w:r w:rsidRPr="00815B3E">
        <w:rPr>
          <w:rFonts w:eastAsia="Calibri" w:cs="Times New Roman"/>
          <w:color w:val="000000" w:themeColor="text1"/>
          <w:szCs w:val="24"/>
        </w:rPr>
        <w:lastRenderedPageBreak/>
        <w:t xml:space="preserve">storfradraget – 400.000 kr. ved direkte investering og 125.000 kr. ved indirekte investering – fremover fastholdes på deres nuværende niveau, </w:t>
      </w:r>
      <w:r w:rsidR="00CC41C4" w:rsidRPr="00815B3E">
        <w:rPr>
          <w:rFonts w:eastAsia="Calibri" w:cs="Times New Roman"/>
          <w:color w:val="000000" w:themeColor="text1"/>
          <w:szCs w:val="24"/>
        </w:rPr>
        <w:t>så</w:t>
      </w:r>
      <w:r w:rsidRPr="00815B3E">
        <w:rPr>
          <w:rFonts w:eastAsia="Calibri" w:cs="Times New Roman"/>
          <w:color w:val="000000" w:themeColor="text1"/>
          <w:szCs w:val="24"/>
        </w:rPr>
        <w:t xml:space="preserve"> lofterne ikke forhøjes fra og med 2023. </w:t>
      </w:r>
    </w:p>
    <w:p w14:paraId="6CBC054C" w14:textId="22394DAB" w:rsidR="00C86063" w:rsidRPr="00815B3E" w:rsidRDefault="00C86063" w:rsidP="007E42A5">
      <w:pPr>
        <w:spacing w:after="240"/>
        <w:rPr>
          <w:rFonts w:cs="Times New Roman"/>
          <w:color w:val="000000" w:themeColor="text1"/>
          <w:szCs w:val="24"/>
        </w:rPr>
      </w:pPr>
      <w:r w:rsidRPr="00815B3E">
        <w:rPr>
          <w:rFonts w:eastAsia="Calibri" w:cs="Times New Roman"/>
          <w:color w:val="000000" w:themeColor="text1"/>
          <w:szCs w:val="24"/>
        </w:rPr>
        <w:t xml:space="preserve">Det vurderes, at investorfradraget hovedsageligt anvendes af personer øverst i indkomstfordelingen, herunder særligt de øverste </w:t>
      </w:r>
      <w:proofErr w:type="spellStart"/>
      <w:r w:rsidRPr="00815B3E">
        <w:rPr>
          <w:rFonts w:eastAsia="Calibri" w:cs="Times New Roman"/>
          <w:color w:val="000000" w:themeColor="text1"/>
          <w:szCs w:val="24"/>
        </w:rPr>
        <w:t>percentiler</w:t>
      </w:r>
      <w:proofErr w:type="spellEnd"/>
      <w:r w:rsidRPr="00815B3E">
        <w:rPr>
          <w:rFonts w:eastAsia="Calibri" w:cs="Times New Roman"/>
          <w:color w:val="000000" w:themeColor="text1"/>
          <w:szCs w:val="24"/>
        </w:rPr>
        <w:t>.</w:t>
      </w:r>
      <w:r w:rsidR="00AC031F" w:rsidRPr="00815B3E">
        <w:rPr>
          <w:rFonts w:eastAsia="Calibri" w:cs="Times New Roman"/>
          <w:color w:val="000000" w:themeColor="text1"/>
          <w:szCs w:val="24"/>
        </w:rPr>
        <w:t xml:space="preserve"> </w:t>
      </w:r>
      <w:bookmarkStart w:id="233" w:name="_Hlk104970195"/>
    </w:p>
    <w:p w14:paraId="69876D4F" w14:textId="0D03F86F" w:rsidR="007E42A5" w:rsidRPr="00815B3E" w:rsidRDefault="00264BFD" w:rsidP="007E42A5">
      <w:pPr>
        <w:pStyle w:val="Undertitel"/>
        <w:spacing w:after="0"/>
        <w:rPr>
          <w:color w:val="000000" w:themeColor="text1"/>
        </w:rPr>
      </w:pPr>
      <w:bookmarkStart w:id="234" w:name="_Toc515352779"/>
      <w:bookmarkStart w:id="235" w:name="_Toc515540852"/>
      <w:bookmarkStart w:id="236" w:name="_Toc515543688"/>
      <w:bookmarkStart w:id="237" w:name="_Toc515543873"/>
      <w:bookmarkStart w:id="238" w:name="_Toc515551674"/>
      <w:bookmarkStart w:id="239" w:name="_Toc515627616"/>
      <w:bookmarkStart w:id="240" w:name="_Toc516039926"/>
      <w:bookmarkStart w:id="241" w:name="_Toc516155349"/>
      <w:bookmarkStart w:id="242" w:name="_Toc516490250"/>
      <w:bookmarkStart w:id="243" w:name="_Toc518037932"/>
      <w:bookmarkStart w:id="244" w:name="_Toc524599580"/>
      <w:bookmarkStart w:id="245" w:name="_Toc526154933"/>
      <w:bookmarkStart w:id="246" w:name="_Toc526155479"/>
      <w:bookmarkStart w:id="247" w:name="_Toc526155552"/>
      <w:bookmarkStart w:id="248" w:name="_Toc526253989"/>
      <w:bookmarkStart w:id="249" w:name="_Toc526348414"/>
      <w:bookmarkStart w:id="250" w:name="_Toc526374605"/>
      <w:bookmarkStart w:id="251" w:name="_Toc526374621"/>
      <w:bookmarkStart w:id="252" w:name="_Toc526406484"/>
      <w:bookmarkStart w:id="253" w:name="_Toc526409510"/>
      <w:bookmarkStart w:id="254" w:name="_Toc526491409"/>
      <w:bookmarkStart w:id="255" w:name="_Toc526505521"/>
      <w:bookmarkStart w:id="256" w:name="_Toc526756613"/>
      <w:bookmarkEnd w:id="233"/>
      <w:r>
        <w:rPr>
          <w:color w:val="000000" w:themeColor="text1"/>
        </w:rPr>
        <w:t>2</w:t>
      </w:r>
      <w:r w:rsidR="007E42A5" w:rsidRPr="00815B3E">
        <w:rPr>
          <w:color w:val="000000" w:themeColor="text1"/>
        </w:rPr>
        <w:t xml:space="preserve">.2.3. </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007E42A5" w:rsidRPr="00815B3E">
        <w:rPr>
          <w:color w:val="000000" w:themeColor="text1"/>
        </w:rPr>
        <w:t>Den foreslåede ordning</w:t>
      </w:r>
      <w:bookmarkEnd w:id="253"/>
      <w:bookmarkEnd w:id="254"/>
      <w:bookmarkEnd w:id="255"/>
      <w:bookmarkEnd w:id="256"/>
    </w:p>
    <w:p w14:paraId="0B796591" w14:textId="2836DB76" w:rsidR="007E42A5" w:rsidRPr="00815B3E" w:rsidRDefault="009A638A" w:rsidP="003B2DE0">
      <w:pPr>
        <w:rPr>
          <w:color w:val="000000" w:themeColor="text1"/>
        </w:rPr>
      </w:pPr>
      <w:r w:rsidRPr="00815B3E">
        <w:rPr>
          <w:color w:val="000000" w:themeColor="text1"/>
        </w:rPr>
        <w:t xml:space="preserve">Det foreslås, at loftet over fradraget for investeringer fra </w:t>
      </w:r>
      <w:r w:rsidR="00201784" w:rsidRPr="00815B3E">
        <w:rPr>
          <w:color w:val="000000" w:themeColor="text1"/>
        </w:rPr>
        <w:t xml:space="preserve">og med </w:t>
      </w:r>
      <w:r w:rsidRPr="00815B3E">
        <w:rPr>
          <w:color w:val="000000" w:themeColor="text1"/>
        </w:rPr>
        <w:t xml:space="preserve">2023 vil være uændret </w:t>
      </w:r>
      <w:r w:rsidR="00201784" w:rsidRPr="00815B3E">
        <w:rPr>
          <w:color w:val="000000" w:themeColor="text1"/>
        </w:rPr>
        <w:t xml:space="preserve">i forhold til </w:t>
      </w:r>
      <w:r w:rsidRPr="00815B3E">
        <w:rPr>
          <w:color w:val="000000" w:themeColor="text1"/>
        </w:rPr>
        <w:t xml:space="preserve">det nuværende niveau. </w:t>
      </w:r>
      <w:r w:rsidR="001D6E89" w:rsidRPr="00815B3E">
        <w:rPr>
          <w:color w:val="000000" w:themeColor="text1"/>
        </w:rPr>
        <w:t>Investorf</w:t>
      </w:r>
      <w:r w:rsidRPr="00815B3E">
        <w:rPr>
          <w:color w:val="000000" w:themeColor="text1"/>
        </w:rPr>
        <w:t xml:space="preserve">radraget vil derfor </w:t>
      </w:r>
      <w:r w:rsidR="001D6E89" w:rsidRPr="00815B3E">
        <w:rPr>
          <w:color w:val="000000" w:themeColor="text1"/>
        </w:rPr>
        <w:t xml:space="preserve">fortsat </w:t>
      </w:r>
      <w:r w:rsidRPr="00815B3E">
        <w:rPr>
          <w:color w:val="000000" w:themeColor="text1"/>
        </w:rPr>
        <w:t xml:space="preserve">gælde for investeringer op til 400.000 kr. for direkte investeringer og 125.000 kr. for indirekte investeringer.  </w:t>
      </w:r>
    </w:p>
    <w:p w14:paraId="31F7D6FC" w14:textId="77777777" w:rsidR="003B2DE0" w:rsidRPr="00815B3E" w:rsidRDefault="003B2DE0" w:rsidP="003B2DE0">
      <w:pPr>
        <w:rPr>
          <w:color w:val="000000" w:themeColor="text1"/>
        </w:rPr>
      </w:pPr>
    </w:p>
    <w:p w14:paraId="41062C9A" w14:textId="6167A917" w:rsidR="00DF12F4" w:rsidRPr="003B0B97" w:rsidRDefault="00264BFD" w:rsidP="00DF12F4">
      <w:pPr>
        <w:pStyle w:val="Overskrift1"/>
        <w:rPr>
          <w:rFonts w:cs="Times New Roman"/>
          <w:bCs w:val="0"/>
          <w:iCs/>
          <w:sz w:val="24"/>
          <w:szCs w:val="24"/>
        </w:rPr>
      </w:pPr>
      <w:bookmarkStart w:id="257" w:name="_Toc505180549"/>
      <w:bookmarkStart w:id="258" w:name="_Toc505690202"/>
      <w:bookmarkStart w:id="259" w:name="_Toc505701755"/>
      <w:bookmarkStart w:id="260" w:name="_Toc505759547"/>
      <w:bookmarkStart w:id="261" w:name="_Toc505759564"/>
      <w:bookmarkStart w:id="262" w:name="_Toc505762657"/>
      <w:bookmarkStart w:id="263" w:name="_Toc505785997"/>
      <w:bookmarkStart w:id="264" w:name="_Toc506799582"/>
      <w:bookmarkStart w:id="265" w:name="_Toc506799599"/>
      <w:bookmarkStart w:id="266" w:name="_Toc506894558"/>
      <w:bookmarkStart w:id="267" w:name="_Toc507486295"/>
      <w:bookmarkStart w:id="268" w:name="_Toc515271230"/>
      <w:bookmarkStart w:id="269" w:name="_Toc515271553"/>
      <w:bookmarkStart w:id="270" w:name="_Toc515271581"/>
      <w:bookmarkStart w:id="271" w:name="_Toc515280489"/>
      <w:bookmarkStart w:id="272" w:name="_Toc515280640"/>
      <w:bookmarkStart w:id="273" w:name="_Toc515352792"/>
      <w:bookmarkStart w:id="274" w:name="_Toc515540865"/>
      <w:bookmarkStart w:id="275" w:name="_Toc515543705"/>
      <w:bookmarkStart w:id="276" w:name="_Toc515543890"/>
      <w:bookmarkStart w:id="277" w:name="_Toc515551691"/>
      <w:bookmarkStart w:id="278" w:name="_Toc515627633"/>
      <w:bookmarkStart w:id="279" w:name="_Toc516039943"/>
      <w:bookmarkStart w:id="280" w:name="_Toc516155366"/>
      <w:bookmarkStart w:id="281" w:name="_Toc516490267"/>
      <w:bookmarkStart w:id="282" w:name="_Toc518037949"/>
      <w:bookmarkStart w:id="283" w:name="_Toc524599601"/>
      <w:bookmarkStart w:id="284" w:name="_Toc526154934"/>
      <w:bookmarkStart w:id="285" w:name="_Toc526155480"/>
      <w:bookmarkStart w:id="286" w:name="_Toc526155553"/>
      <w:bookmarkStart w:id="287" w:name="_Toc526253990"/>
      <w:bookmarkStart w:id="288" w:name="_Toc526348415"/>
      <w:bookmarkStart w:id="289" w:name="_Toc526374606"/>
      <w:bookmarkStart w:id="290" w:name="_Toc526374622"/>
      <w:bookmarkStart w:id="291" w:name="_Toc526406485"/>
      <w:bookmarkStart w:id="292" w:name="_Toc526409511"/>
      <w:bookmarkStart w:id="293" w:name="_Toc526491410"/>
      <w:bookmarkStart w:id="294" w:name="_Toc526505522"/>
      <w:bookmarkStart w:id="295" w:name="_Toc526756614"/>
      <w:r>
        <w:rPr>
          <w:rFonts w:cs="Times New Roman"/>
          <w:bCs w:val="0"/>
          <w:iCs/>
          <w:sz w:val="24"/>
          <w:szCs w:val="24"/>
        </w:rPr>
        <w:t>3</w:t>
      </w:r>
      <w:r w:rsidR="00DF12F4" w:rsidRPr="003B0B97">
        <w:rPr>
          <w:rFonts w:cs="Times New Roman"/>
          <w:bCs w:val="0"/>
          <w:iCs/>
          <w:sz w:val="24"/>
          <w:szCs w:val="24"/>
        </w:rPr>
        <w:t xml:space="preserve">. Økonomiske og </w:t>
      </w:r>
      <w:r w:rsidR="0038703E">
        <w:rPr>
          <w:rFonts w:cs="Times New Roman"/>
          <w:bCs w:val="0"/>
          <w:iCs/>
          <w:sz w:val="24"/>
          <w:szCs w:val="24"/>
        </w:rPr>
        <w:t>implementeringsmæssige</w:t>
      </w:r>
      <w:r w:rsidR="00DF12F4" w:rsidRPr="003B0B97">
        <w:rPr>
          <w:rFonts w:cs="Times New Roman"/>
          <w:bCs w:val="0"/>
          <w:iCs/>
          <w:sz w:val="24"/>
          <w:szCs w:val="24"/>
        </w:rPr>
        <w:t xml:space="preserve"> konsekvenser for </w:t>
      </w:r>
      <w:r w:rsidR="00DF12F4">
        <w:rPr>
          <w:rFonts w:cs="Times New Roman"/>
          <w:bCs w:val="0"/>
          <w:iCs/>
          <w:sz w:val="24"/>
          <w:szCs w:val="24"/>
        </w:rPr>
        <w:t>det offentlige</w:t>
      </w:r>
    </w:p>
    <w:p w14:paraId="2CBF985D" w14:textId="09134397" w:rsidR="00C762CA" w:rsidRDefault="00264BFD" w:rsidP="00C762CA">
      <w:pPr>
        <w:pStyle w:val="Overskrift2"/>
        <w:rPr>
          <w:rFonts w:cs="Times New Roman"/>
          <w:sz w:val="24"/>
          <w:szCs w:val="24"/>
        </w:rPr>
      </w:pPr>
      <w:r>
        <w:rPr>
          <w:rFonts w:cs="Times New Roman"/>
          <w:sz w:val="24"/>
          <w:szCs w:val="24"/>
        </w:rPr>
        <w:t>3</w:t>
      </w:r>
      <w:r w:rsidR="00C762CA" w:rsidRPr="003B0B97">
        <w:rPr>
          <w:rFonts w:cs="Times New Roman"/>
          <w:sz w:val="24"/>
          <w:szCs w:val="24"/>
        </w:rPr>
        <w:t xml:space="preserve">.1. </w:t>
      </w:r>
      <w:r w:rsidR="00C762CA">
        <w:rPr>
          <w:rFonts w:cs="Times New Roman"/>
          <w:sz w:val="24"/>
          <w:szCs w:val="24"/>
        </w:rPr>
        <w:t>Lagerbeskatning af selskaber ejendomsavancer</w:t>
      </w:r>
    </w:p>
    <w:p w14:paraId="4D450034" w14:textId="78B37BCB" w:rsidR="00C762CA" w:rsidRDefault="00C762CA" w:rsidP="00C762CA">
      <w:r>
        <w:t>Det er forbundet med meget stor usikkerhed at vurdere de provenumæssige konsekvenser ved at indføre den foreslåede lagerbeskatning af selskabers ejendomsavancer. Der er tale om en hel</w:t>
      </w:r>
      <w:r w:rsidR="00DF12F4">
        <w:t>t</w:t>
      </w:r>
      <w:r>
        <w:t xml:space="preserve"> ny beskatningsform</w:t>
      </w:r>
      <w:r w:rsidR="00AB5C96">
        <w:t>,</w:t>
      </w:r>
      <w:r>
        <w:t xml:space="preserve"> og der foreligger ikke et datagrundlag for</w:t>
      </w:r>
      <w:r w:rsidR="00AB5C96">
        <w:t>,</w:t>
      </w:r>
      <w:r>
        <w:t xml:space="preserve"> hvor mange</w:t>
      </w:r>
      <w:r w:rsidR="00DF12F4">
        <w:t xml:space="preserve"> ejendomme</w:t>
      </w:r>
      <w:r>
        <w:t xml:space="preserve"> der reelt skifter </w:t>
      </w:r>
      <w:r w:rsidR="00AB5C96">
        <w:t xml:space="preserve">ejer </w:t>
      </w:r>
      <w:r>
        <w:t>uden beskatning.</w:t>
      </w:r>
    </w:p>
    <w:p w14:paraId="6B2596C1" w14:textId="77777777" w:rsidR="00C762CA" w:rsidRDefault="00C762CA" w:rsidP="00C762CA"/>
    <w:p w14:paraId="1C1553C4" w14:textId="2704222D" w:rsidR="00C762CA" w:rsidRDefault="00C762CA" w:rsidP="00C762CA">
      <w:r>
        <w:t>I provenuvurderingen er det p</w:t>
      </w:r>
      <w:r w:rsidR="00270DE5">
        <w:t xml:space="preserve">å baggrund </w:t>
      </w:r>
      <w:r>
        <w:t xml:space="preserve">af regnskabsoplysninger </w:t>
      </w:r>
      <w:r w:rsidR="00782435">
        <w:t>om</w:t>
      </w:r>
      <w:r>
        <w:t xml:space="preserve"> ejendomsselskabernes ejendomsaktiver lagt til grund</w:t>
      </w:r>
      <w:r w:rsidR="00AB5C96">
        <w:t>,</w:t>
      </w:r>
      <w:r>
        <w:t xml:space="preserve"> at en samlet ejendomsmasse på 500 mia. kr. vil blive omfattet af den nye lagerbeskatning. Det lægges desuden til grund</w:t>
      </w:r>
      <w:r w:rsidR="00AB5C96">
        <w:t>,</w:t>
      </w:r>
      <w:r>
        <w:t xml:space="preserve"> at ejendoms</w:t>
      </w:r>
      <w:r w:rsidR="00782435">
        <w:t>pris</w:t>
      </w:r>
      <w:r>
        <w:t>stigningerne i gennemsnit udgør ca. 2,2 pct. årligt</w:t>
      </w:r>
      <w:r w:rsidR="00AB5C96">
        <w:t>.</w:t>
      </w:r>
      <w:r>
        <w:t xml:space="preserve"> </w:t>
      </w:r>
      <w:r w:rsidR="00AB5C96">
        <w:t>D</w:t>
      </w:r>
      <w:r>
        <w:t xml:space="preserve">er vil dog kunne være store udsving fra år til år.   </w:t>
      </w:r>
    </w:p>
    <w:p w14:paraId="793B3E2C" w14:textId="77777777" w:rsidR="00C762CA" w:rsidRDefault="00C762CA" w:rsidP="00C762CA"/>
    <w:p w14:paraId="70CD121F" w14:textId="128F9126" w:rsidR="00C762CA" w:rsidRDefault="00C762CA" w:rsidP="00C762CA">
      <w:pPr>
        <w:spacing w:after="240"/>
        <w:rPr>
          <w:iCs/>
        </w:rPr>
      </w:pPr>
      <w:r>
        <w:rPr>
          <w:iCs/>
        </w:rPr>
        <w:t xml:space="preserve">Værdistigningen vil </w:t>
      </w:r>
      <w:r w:rsidR="00AB5C96">
        <w:rPr>
          <w:iCs/>
        </w:rPr>
        <w:t xml:space="preserve">efter forslaget </w:t>
      </w:r>
      <w:r>
        <w:rPr>
          <w:iCs/>
        </w:rPr>
        <w:t>blive beskattet nominelt med en selskabsskat på 22 pct. Der vil være mulighed for at fradrage underskud mv. fra andre dele af koncernen, hvilket skønnes at reducere den gennemsnitlige beskatning med 1/3 til ca. 14,7 pct.</w:t>
      </w:r>
    </w:p>
    <w:p w14:paraId="063D1E16" w14:textId="77777777" w:rsidR="00C762CA" w:rsidRDefault="00C762CA" w:rsidP="00C762CA">
      <w:pPr>
        <w:spacing w:after="240"/>
        <w:rPr>
          <w:iCs/>
        </w:rPr>
      </w:pPr>
      <w:r>
        <w:rPr>
          <w:iCs/>
        </w:rPr>
        <w:t>På dette grundlag skønnes det umiddelbare merprovenu til ca. 1.600 mio. kr. årligt, hvilket svarer til ca. 1.200 mio. kr. årligt efter tilbageløb og adfærd.</w:t>
      </w:r>
    </w:p>
    <w:tbl>
      <w:tblPr>
        <w:tblStyle w:val="Tabel-Gitter"/>
        <w:tblW w:w="5000" w:type="pct"/>
        <w:tblBorders>
          <w:left w:val="none" w:sz="0" w:space="0" w:color="auto"/>
          <w:right w:val="none" w:sz="0" w:space="0" w:color="auto"/>
        </w:tblBorders>
        <w:tblLook w:val="04A0" w:firstRow="1" w:lastRow="0" w:firstColumn="1" w:lastColumn="0" w:noHBand="0" w:noVBand="1"/>
      </w:tblPr>
      <w:tblGrid>
        <w:gridCol w:w="3006"/>
        <w:gridCol w:w="586"/>
        <w:gridCol w:w="585"/>
        <w:gridCol w:w="585"/>
        <w:gridCol w:w="585"/>
        <w:gridCol w:w="620"/>
        <w:gridCol w:w="587"/>
        <w:gridCol w:w="674"/>
      </w:tblGrid>
      <w:tr w:rsidR="00C762CA" w:rsidRPr="00E43C73" w14:paraId="34E5958C" w14:textId="77777777" w:rsidTr="00C96AF2">
        <w:tc>
          <w:tcPr>
            <w:tcW w:w="5000" w:type="pct"/>
            <w:gridSpan w:val="8"/>
            <w:tcBorders>
              <w:bottom w:val="single" w:sz="4" w:space="0" w:color="auto"/>
            </w:tcBorders>
          </w:tcPr>
          <w:p w14:paraId="71B7D7FA" w14:textId="56B66306" w:rsidR="00C762CA" w:rsidRPr="00E43C73" w:rsidRDefault="00C762CA" w:rsidP="00C96AF2">
            <w:pPr>
              <w:rPr>
                <w:b/>
                <w:bCs/>
                <w:iCs/>
                <w:sz w:val="16"/>
                <w:szCs w:val="16"/>
              </w:rPr>
            </w:pPr>
            <w:r w:rsidRPr="00E43C73">
              <w:rPr>
                <w:b/>
                <w:bCs/>
                <w:iCs/>
                <w:sz w:val="16"/>
                <w:szCs w:val="16"/>
              </w:rPr>
              <w:t xml:space="preserve">Tabel </w:t>
            </w:r>
            <w:r w:rsidRPr="00633821">
              <w:rPr>
                <w:b/>
                <w:bCs/>
                <w:iCs/>
                <w:sz w:val="16"/>
                <w:szCs w:val="16"/>
              </w:rPr>
              <w:t>4.1 Provenumæssige</w:t>
            </w:r>
            <w:r w:rsidRPr="00E43C73">
              <w:rPr>
                <w:b/>
                <w:bCs/>
                <w:iCs/>
                <w:sz w:val="16"/>
                <w:szCs w:val="16"/>
              </w:rPr>
              <w:t xml:space="preserve"> konsekvenser </w:t>
            </w:r>
            <w:r w:rsidRPr="000E1F33">
              <w:rPr>
                <w:b/>
                <w:bCs/>
                <w:iCs/>
                <w:sz w:val="16"/>
                <w:szCs w:val="16"/>
              </w:rPr>
              <w:t xml:space="preserve">ved </w:t>
            </w:r>
            <w:r w:rsidR="005400AF">
              <w:rPr>
                <w:b/>
                <w:bCs/>
                <w:iCs/>
                <w:sz w:val="16"/>
                <w:szCs w:val="16"/>
              </w:rPr>
              <w:t>lagerbeskatning af selskabers ejendomsavancer</w:t>
            </w:r>
          </w:p>
        </w:tc>
      </w:tr>
      <w:tr w:rsidR="00C762CA" w:rsidRPr="00E43C73" w14:paraId="5966B640" w14:textId="77777777" w:rsidTr="00C96AF2">
        <w:tc>
          <w:tcPr>
            <w:tcW w:w="2079" w:type="pct"/>
            <w:tcBorders>
              <w:bottom w:val="single" w:sz="4" w:space="0" w:color="auto"/>
            </w:tcBorders>
          </w:tcPr>
          <w:p w14:paraId="66A6DBEC" w14:textId="77777777" w:rsidR="00C762CA" w:rsidRPr="00E43C73" w:rsidRDefault="00C762CA" w:rsidP="00C96AF2">
            <w:pPr>
              <w:rPr>
                <w:iCs/>
                <w:sz w:val="16"/>
                <w:szCs w:val="16"/>
              </w:rPr>
            </w:pPr>
          </w:p>
          <w:p w14:paraId="2A4FD230" w14:textId="77777777" w:rsidR="00C762CA" w:rsidRPr="00E43C73" w:rsidRDefault="00C762CA" w:rsidP="00C96AF2">
            <w:pPr>
              <w:rPr>
                <w:iCs/>
                <w:sz w:val="16"/>
                <w:szCs w:val="16"/>
              </w:rPr>
            </w:pPr>
            <w:r w:rsidRPr="00E43C73">
              <w:rPr>
                <w:iCs/>
                <w:sz w:val="16"/>
                <w:szCs w:val="16"/>
              </w:rPr>
              <w:t>Mio. kr. (2022-niveau)</w:t>
            </w:r>
          </w:p>
        </w:tc>
        <w:tc>
          <w:tcPr>
            <w:tcW w:w="405" w:type="pct"/>
            <w:tcBorders>
              <w:left w:val="nil"/>
              <w:bottom w:val="single" w:sz="4" w:space="0" w:color="auto"/>
              <w:right w:val="nil"/>
            </w:tcBorders>
            <w:tcMar>
              <w:left w:w="57" w:type="dxa"/>
              <w:right w:w="57" w:type="dxa"/>
            </w:tcMar>
          </w:tcPr>
          <w:p w14:paraId="533F5307" w14:textId="77777777" w:rsidR="00C762CA" w:rsidRPr="00E43C73" w:rsidRDefault="00C762CA" w:rsidP="00C96AF2">
            <w:pPr>
              <w:jc w:val="right"/>
              <w:rPr>
                <w:iCs/>
                <w:sz w:val="16"/>
                <w:szCs w:val="16"/>
              </w:rPr>
            </w:pPr>
          </w:p>
          <w:p w14:paraId="3F611A58" w14:textId="77777777" w:rsidR="00C762CA" w:rsidRPr="00E43C73" w:rsidRDefault="00C762CA" w:rsidP="00C96AF2">
            <w:pPr>
              <w:jc w:val="right"/>
              <w:rPr>
                <w:iCs/>
                <w:sz w:val="16"/>
                <w:szCs w:val="16"/>
              </w:rPr>
            </w:pPr>
            <w:r w:rsidRPr="00E43C73">
              <w:rPr>
                <w:iCs/>
                <w:sz w:val="16"/>
                <w:szCs w:val="16"/>
              </w:rPr>
              <w:t>2022</w:t>
            </w:r>
          </w:p>
        </w:tc>
        <w:tc>
          <w:tcPr>
            <w:tcW w:w="405" w:type="pct"/>
            <w:tcBorders>
              <w:left w:val="nil"/>
              <w:bottom w:val="single" w:sz="4" w:space="0" w:color="auto"/>
              <w:right w:val="nil"/>
            </w:tcBorders>
            <w:tcMar>
              <w:left w:w="57" w:type="dxa"/>
              <w:right w:w="57" w:type="dxa"/>
            </w:tcMar>
          </w:tcPr>
          <w:p w14:paraId="0B3C83E7" w14:textId="77777777" w:rsidR="00C762CA" w:rsidRPr="00E43C73" w:rsidRDefault="00C762CA" w:rsidP="00C96AF2">
            <w:pPr>
              <w:jc w:val="right"/>
              <w:rPr>
                <w:iCs/>
                <w:sz w:val="16"/>
                <w:szCs w:val="16"/>
              </w:rPr>
            </w:pPr>
          </w:p>
          <w:p w14:paraId="2B9CF7E8" w14:textId="77777777" w:rsidR="00C762CA" w:rsidRPr="00E43C73" w:rsidRDefault="00C762CA" w:rsidP="00C96AF2">
            <w:pPr>
              <w:jc w:val="right"/>
              <w:rPr>
                <w:iCs/>
                <w:sz w:val="16"/>
                <w:szCs w:val="16"/>
              </w:rPr>
            </w:pPr>
            <w:r w:rsidRPr="00E43C73">
              <w:rPr>
                <w:iCs/>
                <w:sz w:val="16"/>
                <w:szCs w:val="16"/>
              </w:rPr>
              <w:t>2023</w:t>
            </w:r>
          </w:p>
        </w:tc>
        <w:tc>
          <w:tcPr>
            <w:tcW w:w="405" w:type="pct"/>
            <w:tcBorders>
              <w:left w:val="nil"/>
              <w:bottom w:val="single" w:sz="4" w:space="0" w:color="auto"/>
              <w:right w:val="nil"/>
            </w:tcBorders>
            <w:tcMar>
              <w:left w:w="57" w:type="dxa"/>
              <w:right w:w="57" w:type="dxa"/>
            </w:tcMar>
          </w:tcPr>
          <w:p w14:paraId="3FDF4198" w14:textId="77777777" w:rsidR="00C762CA" w:rsidRPr="00E43C73" w:rsidRDefault="00C762CA" w:rsidP="00C96AF2">
            <w:pPr>
              <w:jc w:val="right"/>
              <w:rPr>
                <w:iCs/>
                <w:sz w:val="16"/>
                <w:szCs w:val="16"/>
              </w:rPr>
            </w:pPr>
          </w:p>
          <w:p w14:paraId="72E4348A" w14:textId="77777777" w:rsidR="00C762CA" w:rsidRPr="00E43C73" w:rsidRDefault="00C762CA" w:rsidP="00C96AF2">
            <w:pPr>
              <w:jc w:val="right"/>
              <w:rPr>
                <w:iCs/>
                <w:sz w:val="16"/>
                <w:szCs w:val="16"/>
              </w:rPr>
            </w:pPr>
            <w:r w:rsidRPr="00E43C73">
              <w:rPr>
                <w:iCs/>
                <w:sz w:val="16"/>
                <w:szCs w:val="16"/>
              </w:rPr>
              <w:t>2024</w:t>
            </w:r>
          </w:p>
        </w:tc>
        <w:tc>
          <w:tcPr>
            <w:tcW w:w="405" w:type="pct"/>
            <w:tcBorders>
              <w:left w:val="nil"/>
              <w:bottom w:val="single" w:sz="4" w:space="0" w:color="auto"/>
              <w:right w:val="dashSmallGap" w:sz="4" w:space="0" w:color="auto"/>
            </w:tcBorders>
            <w:tcMar>
              <w:left w:w="57" w:type="dxa"/>
              <w:right w:w="57" w:type="dxa"/>
            </w:tcMar>
          </w:tcPr>
          <w:p w14:paraId="37C0878C" w14:textId="77777777" w:rsidR="00C762CA" w:rsidRPr="00E43C73" w:rsidRDefault="00C762CA" w:rsidP="00C96AF2">
            <w:pPr>
              <w:jc w:val="right"/>
              <w:rPr>
                <w:iCs/>
                <w:sz w:val="16"/>
                <w:szCs w:val="16"/>
              </w:rPr>
            </w:pPr>
          </w:p>
          <w:p w14:paraId="701CD19C" w14:textId="77777777" w:rsidR="00C762CA" w:rsidRPr="00E43C73" w:rsidRDefault="00C762CA" w:rsidP="00C96AF2">
            <w:pPr>
              <w:jc w:val="right"/>
              <w:rPr>
                <w:iCs/>
                <w:sz w:val="16"/>
                <w:szCs w:val="16"/>
              </w:rPr>
            </w:pPr>
            <w:r w:rsidRPr="00E43C73">
              <w:rPr>
                <w:iCs/>
                <w:sz w:val="16"/>
                <w:szCs w:val="16"/>
              </w:rPr>
              <w:t>2025</w:t>
            </w:r>
          </w:p>
        </w:tc>
        <w:tc>
          <w:tcPr>
            <w:tcW w:w="429" w:type="pct"/>
            <w:tcBorders>
              <w:left w:val="dashSmallGap" w:sz="4" w:space="0" w:color="auto"/>
              <w:bottom w:val="single" w:sz="4" w:space="0" w:color="auto"/>
            </w:tcBorders>
          </w:tcPr>
          <w:p w14:paraId="1CA24004" w14:textId="77777777" w:rsidR="00C762CA" w:rsidRPr="00E43C73" w:rsidRDefault="00C762CA" w:rsidP="00C96AF2">
            <w:pPr>
              <w:jc w:val="right"/>
              <w:rPr>
                <w:iCs/>
                <w:sz w:val="16"/>
                <w:szCs w:val="16"/>
              </w:rPr>
            </w:pPr>
          </w:p>
          <w:p w14:paraId="177E9420" w14:textId="77777777" w:rsidR="00C762CA" w:rsidRPr="00E43C73" w:rsidRDefault="00C762CA" w:rsidP="00C96AF2">
            <w:pPr>
              <w:jc w:val="right"/>
              <w:rPr>
                <w:iCs/>
                <w:sz w:val="16"/>
                <w:szCs w:val="16"/>
              </w:rPr>
            </w:pPr>
            <w:r w:rsidRPr="00E43C73">
              <w:rPr>
                <w:iCs/>
                <w:sz w:val="16"/>
                <w:szCs w:val="16"/>
              </w:rPr>
              <w:t>2030</w:t>
            </w:r>
          </w:p>
        </w:tc>
        <w:tc>
          <w:tcPr>
            <w:tcW w:w="406" w:type="pct"/>
            <w:tcBorders>
              <w:bottom w:val="single" w:sz="4" w:space="0" w:color="auto"/>
            </w:tcBorders>
            <w:tcMar>
              <w:left w:w="57" w:type="dxa"/>
              <w:right w:w="57" w:type="dxa"/>
            </w:tcMar>
          </w:tcPr>
          <w:p w14:paraId="6E054BB7" w14:textId="77777777" w:rsidR="00C762CA" w:rsidRPr="00E43C73" w:rsidRDefault="00C762CA" w:rsidP="00C96AF2">
            <w:pPr>
              <w:jc w:val="center"/>
              <w:rPr>
                <w:iCs/>
                <w:sz w:val="16"/>
                <w:szCs w:val="16"/>
              </w:rPr>
            </w:pPr>
          </w:p>
          <w:p w14:paraId="5C369F3E" w14:textId="77777777" w:rsidR="00C762CA" w:rsidRPr="00E43C73" w:rsidRDefault="00C762CA" w:rsidP="00C96AF2">
            <w:pPr>
              <w:jc w:val="center"/>
              <w:rPr>
                <w:iCs/>
                <w:sz w:val="16"/>
                <w:szCs w:val="16"/>
              </w:rPr>
            </w:pPr>
            <w:r w:rsidRPr="00E43C73">
              <w:rPr>
                <w:iCs/>
                <w:sz w:val="16"/>
                <w:szCs w:val="16"/>
              </w:rPr>
              <w:t>Varigt</w:t>
            </w:r>
          </w:p>
        </w:tc>
        <w:tc>
          <w:tcPr>
            <w:tcW w:w="466" w:type="pct"/>
            <w:tcBorders>
              <w:bottom w:val="single" w:sz="4" w:space="0" w:color="auto"/>
            </w:tcBorders>
            <w:tcMar>
              <w:left w:w="57" w:type="dxa"/>
              <w:right w:w="57" w:type="dxa"/>
            </w:tcMar>
          </w:tcPr>
          <w:p w14:paraId="3687FFCA" w14:textId="77777777" w:rsidR="00C762CA" w:rsidRPr="00E43C73" w:rsidRDefault="00C762CA" w:rsidP="00C96AF2">
            <w:pPr>
              <w:jc w:val="center"/>
              <w:rPr>
                <w:iCs/>
                <w:sz w:val="16"/>
                <w:szCs w:val="16"/>
              </w:rPr>
            </w:pPr>
            <w:r w:rsidRPr="00E43C73">
              <w:rPr>
                <w:iCs/>
                <w:sz w:val="16"/>
                <w:szCs w:val="16"/>
              </w:rPr>
              <w:t>Finansår</w:t>
            </w:r>
          </w:p>
          <w:p w14:paraId="1A6CC24D" w14:textId="77777777" w:rsidR="00C762CA" w:rsidRPr="00E43C73" w:rsidRDefault="00C762CA" w:rsidP="00C96AF2">
            <w:pPr>
              <w:jc w:val="center"/>
              <w:rPr>
                <w:iCs/>
                <w:sz w:val="16"/>
                <w:szCs w:val="16"/>
              </w:rPr>
            </w:pPr>
            <w:r w:rsidRPr="00E43C73">
              <w:rPr>
                <w:iCs/>
                <w:sz w:val="16"/>
                <w:szCs w:val="16"/>
              </w:rPr>
              <w:t>202</w:t>
            </w:r>
            <w:r>
              <w:rPr>
                <w:iCs/>
                <w:sz w:val="16"/>
                <w:szCs w:val="16"/>
              </w:rPr>
              <w:t>3</w:t>
            </w:r>
          </w:p>
        </w:tc>
      </w:tr>
      <w:tr w:rsidR="00C762CA" w:rsidRPr="00E43C73" w14:paraId="1C857285" w14:textId="77777777" w:rsidTr="00C96AF2">
        <w:tc>
          <w:tcPr>
            <w:tcW w:w="2079" w:type="pct"/>
            <w:tcBorders>
              <w:bottom w:val="nil"/>
            </w:tcBorders>
          </w:tcPr>
          <w:p w14:paraId="546A8A84" w14:textId="77777777" w:rsidR="00C762CA" w:rsidRPr="00E43C73" w:rsidRDefault="00C762CA" w:rsidP="00C96AF2">
            <w:pPr>
              <w:rPr>
                <w:iCs/>
                <w:sz w:val="16"/>
                <w:szCs w:val="16"/>
              </w:rPr>
            </w:pPr>
            <w:r w:rsidRPr="00E43C73">
              <w:rPr>
                <w:iCs/>
                <w:sz w:val="16"/>
                <w:szCs w:val="16"/>
              </w:rPr>
              <w:t>Umiddelbar virkning</w:t>
            </w:r>
          </w:p>
        </w:tc>
        <w:tc>
          <w:tcPr>
            <w:tcW w:w="405" w:type="pct"/>
            <w:tcBorders>
              <w:left w:val="nil"/>
              <w:bottom w:val="nil"/>
              <w:right w:val="nil"/>
            </w:tcBorders>
            <w:tcMar>
              <w:left w:w="57" w:type="dxa"/>
              <w:right w:w="57" w:type="dxa"/>
            </w:tcMar>
          </w:tcPr>
          <w:p w14:paraId="1650DEEB" w14:textId="77777777" w:rsidR="00C762CA" w:rsidRPr="00E43C73" w:rsidRDefault="00C762CA" w:rsidP="00C96AF2">
            <w:pPr>
              <w:jc w:val="right"/>
              <w:rPr>
                <w:iCs/>
                <w:sz w:val="16"/>
                <w:szCs w:val="16"/>
              </w:rPr>
            </w:pPr>
            <w:r w:rsidRPr="00E43C73">
              <w:rPr>
                <w:iCs/>
                <w:sz w:val="16"/>
                <w:szCs w:val="16"/>
              </w:rPr>
              <w:t>-</w:t>
            </w:r>
          </w:p>
        </w:tc>
        <w:tc>
          <w:tcPr>
            <w:tcW w:w="405" w:type="pct"/>
            <w:tcBorders>
              <w:left w:val="nil"/>
              <w:bottom w:val="nil"/>
              <w:right w:val="nil"/>
            </w:tcBorders>
            <w:tcMar>
              <w:left w:w="57" w:type="dxa"/>
              <w:right w:w="57" w:type="dxa"/>
            </w:tcMar>
          </w:tcPr>
          <w:p w14:paraId="3784A59A" w14:textId="77777777" w:rsidR="00C762CA" w:rsidRPr="00E43C73" w:rsidRDefault="00C762CA" w:rsidP="00C96AF2">
            <w:pPr>
              <w:jc w:val="right"/>
              <w:rPr>
                <w:iCs/>
                <w:sz w:val="16"/>
                <w:szCs w:val="16"/>
              </w:rPr>
            </w:pPr>
            <w:r>
              <w:rPr>
                <w:iCs/>
                <w:sz w:val="16"/>
                <w:szCs w:val="16"/>
              </w:rPr>
              <w:t>1.600</w:t>
            </w:r>
          </w:p>
        </w:tc>
        <w:tc>
          <w:tcPr>
            <w:tcW w:w="405" w:type="pct"/>
            <w:tcBorders>
              <w:left w:val="nil"/>
              <w:bottom w:val="nil"/>
              <w:right w:val="nil"/>
            </w:tcBorders>
            <w:tcMar>
              <w:left w:w="57" w:type="dxa"/>
              <w:right w:w="57" w:type="dxa"/>
            </w:tcMar>
          </w:tcPr>
          <w:p w14:paraId="76D1E2AD" w14:textId="77777777" w:rsidR="00C762CA" w:rsidRPr="00E43C73" w:rsidRDefault="00C762CA" w:rsidP="00C96AF2">
            <w:pPr>
              <w:jc w:val="right"/>
              <w:rPr>
                <w:iCs/>
                <w:sz w:val="16"/>
                <w:szCs w:val="16"/>
              </w:rPr>
            </w:pPr>
            <w:r>
              <w:rPr>
                <w:iCs/>
                <w:sz w:val="16"/>
                <w:szCs w:val="16"/>
              </w:rPr>
              <w:t>1.600</w:t>
            </w:r>
          </w:p>
        </w:tc>
        <w:tc>
          <w:tcPr>
            <w:tcW w:w="405" w:type="pct"/>
            <w:tcBorders>
              <w:left w:val="nil"/>
              <w:bottom w:val="nil"/>
              <w:right w:val="dashSmallGap" w:sz="4" w:space="0" w:color="auto"/>
            </w:tcBorders>
            <w:tcMar>
              <w:left w:w="57" w:type="dxa"/>
              <w:right w:w="57" w:type="dxa"/>
            </w:tcMar>
          </w:tcPr>
          <w:p w14:paraId="6CF20FF7" w14:textId="77777777" w:rsidR="00C762CA" w:rsidRPr="00E43C73" w:rsidRDefault="00C762CA" w:rsidP="00C96AF2">
            <w:pPr>
              <w:jc w:val="right"/>
              <w:rPr>
                <w:iCs/>
                <w:sz w:val="16"/>
                <w:szCs w:val="16"/>
              </w:rPr>
            </w:pPr>
            <w:r>
              <w:rPr>
                <w:iCs/>
                <w:sz w:val="16"/>
                <w:szCs w:val="16"/>
              </w:rPr>
              <w:t>1.600</w:t>
            </w:r>
          </w:p>
        </w:tc>
        <w:tc>
          <w:tcPr>
            <w:tcW w:w="429" w:type="pct"/>
            <w:tcBorders>
              <w:left w:val="dashSmallGap" w:sz="4" w:space="0" w:color="auto"/>
              <w:bottom w:val="nil"/>
              <w:right w:val="single" w:sz="4" w:space="0" w:color="auto"/>
            </w:tcBorders>
          </w:tcPr>
          <w:p w14:paraId="1D5B6028" w14:textId="77777777" w:rsidR="00C762CA" w:rsidRPr="00E43C73" w:rsidRDefault="00C762CA" w:rsidP="00C96AF2">
            <w:pPr>
              <w:jc w:val="right"/>
              <w:rPr>
                <w:iCs/>
                <w:sz w:val="16"/>
                <w:szCs w:val="16"/>
              </w:rPr>
            </w:pPr>
            <w:r>
              <w:rPr>
                <w:iCs/>
                <w:sz w:val="16"/>
                <w:szCs w:val="16"/>
              </w:rPr>
              <w:t>1.600</w:t>
            </w:r>
          </w:p>
        </w:tc>
        <w:tc>
          <w:tcPr>
            <w:tcW w:w="406" w:type="pct"/>
            <w:tcBorders>
              <w:left w:val="single" w:sz="4" w:space="0" w:color="auto"/>
              <w:bottom w:val="nil"/>
            </w:tcBorders>
            <w:tcMar>
              <w:left w:w="57" w:type="dxa"/>
              <w:right w:w="57" w:type="dxa"/>
            </w:tcMar>
          </w:tcPr>
          <w:p w14:paraId="5584A7E3" w14:textId="77777777" w:rsidR="00C762CA" w:rsidRPr="00E43C73" w:rsidRDefault="00C762CA" w:rsidP="00C96AF2">
            <w:pPr>
              <w:jc w:val="right"/>
              <w:rPr>
                <w:iCs/>
                <w:sz w:val="16"/>
                <w:szCs w:val="16"/>
              </w:rPr>
            </w:pPr>
            <w:r>
              <w:rPr>
                <w:iCs/>
                <w:sz w:val="16"/>
                <w:szCs w:val="16"/>
              </w:rPr>
              <w:t>1.600</w:t>
            </w:r>
          </w:p>
        </w:tc>
        <w:tc>
          <w:tcPr>
            <w:tcW w:w="466" w:type="pct"/>
            <w:tcBorders>
              <w:bottom w:val="nil"/>
            </w:tcBorders>
          </w:tcPr>
          <w:p w14:paraId="5D2982A2" w14:textId="77777777" w:rsidR="00C762CA" w:rsidRPr="00E43C73" w:rsidRDefault="00C762CA" w:rsidP="00C96AF2">
            <w:pPr>
              <w:jc w:val="right"/>
              <w:rPr>
                <w:iCs/>
                <w:sz w:val="16"/>
                <w:szCs w:val="16"/>
              </w:rPr>
            </w:pPr>
            <w:r>
              <w:rPr>
                <w:sz w:val="16"/>
                <w:szCs w:val="16"/>
              </w:rPr>
              <w:t>1.600</w:t>
            </w:r>
          </w:p>
        </w:tc>
      </w:tr>
      <w:tr w:rsidR="00C762CA" w:rsidRPr="00E43C73" w14:paraId="2777B449" w14:textId="77777777" w:rsidTr="00C96AF2">
        <w:tc>
          <w:tcPr>
            <w:tcW w:w="2079" w:type="pct"/>
            <w:tcBorders>
              <w:top w:val="nil"/>
              <w:bottom w:val="nil"/>
            </w:tcBorders>
          </w:tcPr>
          <w:p w14:paraId="468720D9" w14:textId="77777777" w:rsidR="00C762CA" w:rsidRPr="00E43C73" w:rsidRDefault="00C762CA" w:rsidP="00C96AF2">
            <w:pPr>
              <w:rPr>
                <w:iCs/>
                <w:sz w:val="16"/>
                <w:szCs w:val="16"/>
              </w:rPr>
            </w:pPr>
            <w:r w:rsidRPr="00E43C73">
              <w:rPr>
                <w:iCs/>
                <w:sz w:val="16"/>
                <w:szCs w:val="16"/>
              </w:rPr>
              <w:t>Virkning efter tilbageløb</w:t>
            </w:r>
          </w:p>
        </w:tc>
        <w:tc>
          <w:tcPr>
            <w:tcW w:w="405" w:type="pct"/>
            <w:tcBorders>
              <w:top w:val="nil"/>
              <w:left w:val="nil"/>
              <w:bottom w:val="nil"/>
              <w:right w:val="nil"/>
            </w:tcBorders>
            <w:tcMar>
              <w:left w:w="57" w:type="dxa"/>
              <w:right w:w="57" w:type="dxa"/>
            </w:tcMar>
          </w:tcPr>
          <w:p w14:paraId="4903F814" w14:textId="77777777" w:rsidR="00C762CA" w:rsidRPr="00E43C73" w:rsidRDefault="00C762CA" w:rsidP="00C96AF2">
            <w:pPr>
              <w:jc w:val="right"/>
              <w:rPr>
                <w:iCs/>
                <w:sz w:val="16"/>
                <w:szCs w:val="16"/>
              </w:rPr>
            </w:pPr>
            <w:r w:rsidRPr="00E43C73">
              <w:rPr>
                <w:iCs/>
                <w:sz w:val="16"/>
                <w:szCs w:val="16"/>
              </w:rPr>
              <w:t>-</w:t>
            </w:r>
          </w:p>
        </w:tc>
        <w:tc>
          <w:tcPr>
            <w:tcW w:w="405" w:type="pct"/>
            <w:tcBorders>
              <w:top w:val="nil"/>
              <w:left w:val="nil"/>
              <w:bottom w:val="nil"/>
              <w:right w:val="nil"/>
            </w:tcBorders>
            <w:tcMar>
              <w:left w:w="57" w:type="dxa"/>
              <w:right w:w="57" w:type="dxa"/>
            </w:tcMar>
          </w:tcPr>
          <w:p w14:paraId="3850E98A" w14:textId="77777777" w:rsidR="00C762CA" w:rsidRPr="00E43C73" w:rsidRDefault="00C762CA" w:rsidP="00C96AF2">
            <w:pPr>
              <w:jc w:val="right"/>
              <w:rPr>
                <w:iCs/>
                <w:sz w:val="16"/>
                <w:szCs w:val="16"/>
              </w:rPr>
            </w:pPr>
            <w:r>
              <w:rPr>
                <w:sz w:val="16"/>
                <w:szCs w:val="16"/>
              </w:rPr>
              <w:t>1.400</w:t>
            </w:r>
          </w:p>
        </w:tc>
        <w:tc>
          <w:tcPr>
            <w:tcW w:w="405" w:type="pct"/>
            <w:tcBorders>
              <w:top w:val="nil"/>
              <w:left w:val="nil"/>
              <w:bottom w:val="nil"/>
              <w:right w:val="nil"/>
            </w:tcBorders>
            <w:tcMar>
              <w:left w:w="57" w:type="dxa"/>
              <w:right w:w="57" w:type="dxa"/>
            </w:tcMar>
          </w:tcPr>
          <w:p w14:paraId="131C178C" w14:textId="77777777" w:rsidR="00C762CA" w:rsidRPr="00E43C73" w:rsidRDefault="00C762CA" w:rsidP="00C96AF2">
            <w:pPr>
              <w:jc w:val="right"/>
              <w:rPr>
                <w:iCs/>
                <w:sz w:val="16"/>
                <w:szCs w:val="16"/>
              </w:rPr>
            </w:pPr>
            <w:r>
              <w:rPr>
                <w:sz w:val="16"/>
                <w:szCs w:val="16"/>
              </w:rPr>
              <w:t>1.400</w:t>
            </w:r>
          </w:p>
        </w:tc>
        <w:tc>
          <w:tcPr>
            <w:tcW w:w="405" w:type="pct"/>
            <w:tcBorders>
              <w:top w:val="nil"/>
              <w:left w:val="nil"/>
              <w:bottom w:val="nil"/>
              <w:right w:val="dashSmallGap" w:sz="4" w:space="0" w:color="auto"/>
            </w:tcBorders>
            <w:tcMar>
              <w:left w:w="57" w:type="dxa"/>
              <w:right w:w="57" w:type="dxa"/>
            </w:tcMar>
          </w:tcPr>
          <w:p w14:paraId="37C0031E" w14:textId="77777777" w:rsidR="00C762CA" w:rsidRPr="00E43C73" w:rsidRDefault="00C762CA" w:rsidP="00C96AF2">
            <w:pPr>
              <w:jc w:val="right"/>
              <w:rPr>
                <w:iCs/>
                <w:sz w:val="16"/>
                <w:szCs w:val="16"/>
              </w:rPr>
            </w:pPr>
            <w:r>
              <w:rPr>
                <w:sz w:val="16"/>
                <w:szCs w:val="16"/>
              </w:rPr>
              <w:t>1.400</w:t>
            </w:r>
          </w:p>
        </w:tc>
        <w:tc>
          <w:tcPr>
            <w:tcW w:w="429" w:type="pct"/>
            <w:tcBorders>
              <w:top w:val="nil"/>
              <w:left w:val="dashSmallGap" w:sz="4" w:space="0" w:color="auto"/>
              <w:bottom w:val="nil"/>
              <w:right w:val="single" w:sz="4" w:space="0" w:color="auto"/>
            </w:tcBorders>
          </w:tcPr>
          <w:p w14:paraId="5C4464A6" w14:textId="77777777" w:rsidR="00C762CA" w:rsidRPr="00E43C73" w:rsidRDefault="00C762CA" w:rsidP="00C96AF2">
            <w:pPr>
              <w:jc w:val="right"/>
              <w:rPr>
                <w:iCs/>
                <w:sz w:val="16"/>
                <w:szCs w:val="16"/>
              </w:rPr>
            </w:pPr>
            <w:r>
              <w:rPr>
                <w:sz w:val="16"/>
                <w:szCs w:val="16"/>
              </w:rPr>
              <w:t>1.400</w:t>
            </w:r>
          </w:p>
        </w:tc>
        <w:tc>
          <w:tcPr>
            <w:tcW w:w="406" w:type="pct"/>
            <w:tcBorders>
              <w:top w:val="nil"/>
              <w:left w:val="single" w:sz="4" w:space="0" w:color="auto"/>
              <w:bottom w:val="nil"/>
            </w:tcBorders>
            <w:tcMar>
              <w:left w:w="57" w:type="dxa"/>
              <w:right w:w="57" w:type="dxa"/>
            </w:tcMar>
          </w:tcPr>
          <w:p w14:paraId="46D60A79" w14:textId="77777777" w:rsidR="00C762CA" w:rsidRPr="00E43C73" w:rsidRDefault="00C762CA" w:rsidP="00C96AF2">
            <w:pPr>
              <w:jc w:val="right"/>
              <w:rPr>
                <w:iCs/>
                <w:sz w:val="16"/>
                <w:szCs w:val="16"/>
              </w:rPr>
            </w:pPr>
            <w:r>
              <w:rPr>
                <w:sz w:val="16"/>
                <w:szCs w:val="16"/>
              </w:rPr>
              <w:t>1.400</w:t>
            </w:r>
          </w:p>
        </w:tc>
        <w:tc>
          <w:tcPr>
            <w:tcW w:w="466" w:type="pct"/>
            <w:tcBorders>
              <w:top w:val="nil"/>
              <w:bottom w:val="nil"/>
            </w:tcBorders>
          </w:tcPr>
          <w:p w14:paraId="1C5C9974" w14:textId="77777777" w:rsidR="00C762CA" w:rsidRPr="00E43C73" w:rsidRDefault="00C762CA" w:rsidP="00C96AF2">
            <w:pPr>
              <w:jc w:val="right"/>
              <w:rPr>
                <w:iCs/>
                <w:sz w:val="16"/>
                <w:szCs w:val="16"/>
              </w:rPr>
            </w:pPr>
            <w:r w:rsidRPr="00E43C73">
              <w:rPr>
                <w:iCs/>
                <w:sz w:val="16"/>
                <w:szCs w:val="16"/>
              </w:rPr>
              <w:t>-</w:t>
            </w:r>
          </w:p>
        </w:tc>
      </w:tr>
      <w:tr w:rsidR="00C762CA" w:rsidRPr="00E43C73" w14:paraId="0BE67D28" w14:textId="77777777" w:rsidTr="00C96AF2">
        <w:tc>
          <w:tcPr>
            <w:tcW w:w="2079" w:type="pct"/>
            <w:tcBorders>
              <w:top w:val="nil"/>
              <w:bottom w:val="single" w:sz="4" w:space="0" w:color="auto"/>
            </w:tcBorders>
          </w:tcPr>
          <w:p w14:paraId="364C1063" w14:textId="77777777" w:rsidR="00C762CA" w:rsidRPr="00E43C73" w:rsidRDefault="00C762CA" w:rsidP="00C96AF2">
            <w:pPr>
              <w:rPr>
                <w:iCs/>
                <w:sz w:val="16"/>
                <w:szCs w:val="16"/>
              </w:rPr>
            </w:pPr>
            <w:r w:rsidRPr="00E43C73">
              <w:rPr>
                <w:iCs/>
                <w:sz w:val="16"/>
                <w:szCs w:val="16"/>
              </w:rPr>
              <w:t>Virkning efter tilbageløb og adfærd</w:t>
            </w:r>
          </w:p>
        </w:tc>
        <w:tc>
          <w:tcPr>
            <w:tcW w:w="405" w:type="pct"/>
            <w:tcBorders>
              <w:top w:val="nil"/>
              <w:left w:val="nil"/>
              <w:bottom w:val="single" w:sz="4" w:space="0" w:color="auto"/>
              <w:right w:val="nil"/>
            </w:tcBorders>
            <w:tcMar>
              <w:left w:w="57" w:type="dxa"/>
              <w:right w:w="57" w:type="dxa"/>
            </w:tcMar>
          </w:tcPr>
          <w:p w14:paraId="1F1D84D4" w14:textId="77777777" w:rsidR="00C762CA" w:rsidRPr="00E43C73" w:rsidRDefault="00C762CA" w:rsidP="00C96AF2">
            <w:pPr>
              <w:jc w:val="right"/>
              <w:rPr>
                <w:iCs/>
                <w:sz w:val="16"/>
                <w:szCs w:val="16"/>
              </w:rPr>
            </w:pPr>
            <w:r w:rsidRPr="00E43C73">
              <w:rPr>
                <w:iCs/>
                <w:sz w:val="16"/>
                <w:szCs w:val="16"/>
              </w:rPr>
              <w:t>-</w:t>
            </w:r>
          </w:p>
        </w:tc>
        <w:tc>
          <w:tcPr>
            <w:tcW w:w="405" w:type="pct"/>
            <w:tcBorders>
              <w:top w:val="nil"/>
              <w:left w:val="nil"/>
              <w:bottom w:val="single" w:sz="4" w:space="0" w:color="auto"/>
              <w:right w:val="nil"/>
            </w:tcBorders>
            <w:tcMar>
              <w:left w:w="57" w:type="dxa"/>
              <w:right w:w="57" w:type="dxa"/>
            </w:tcMar>
          </w:tcPr>
          <w:p w14:paraId="4A7D6AD8" w14:textId="77777777" w:rsidR="00C762CA" w:rsidRPr="00E43C73" w:rsidRDefault="00C762CA" w:rsidP="00C96AF2">
            <w:pPr>
              <w:jc w:val="right"/>
              <w:rPr>
                <w:iCs/>
                <w:sz w:val="16"/>
                <w:szCs w:val="16"/>
              </w:rPr>
            </w:pPr>
            <w:r>
              <w:rPr>
                <w:sz w:val="16"/>
                <w:szCs w:val="16"/>
              </w:rPr>
              <w:t>1.200</w:t>
            </w:r>
          </w:p>
        </w:tc>
        <w:tc>
          <w:tcPr>
            <w:tcW w:w="405" w:type="pct"/>
            <w:tcBorders>
              <w:top w:val="nil"/>
              <w:left w:val="nil"/>
              <w:bottom w:val="single" w:sz="4" w:space="0" w:color="auto"/>
              <w:right w:val="nil"/>
            </w:tcBorders>
            <w:tcMar>
              <w:left w:w="57" w:type="dxa"/>
              <w:right w:w="57" w:type="dxa"/>
            </w:tcMar>
          </w:tcPr>
          <w:p w14:paraId="4878B24A" w14:textId="77777777" w:rsidR="00C762CA" w:rsidRPr="00E43C73" w:rsidRDefault="00C762CA" w:rsidP="00C96AF2">
            <w:pPr>
              <w:jc w:val="right"/>
              <w:rPr>
                <w:iCs/>
                <w:sz w:val="16"/>
                <w:szCs w:val="16"/>
              </w:rPr>
            </w:pPr>
            <w:r>
              <w:rPr>
                <w:sz w:val="16"/>
                <w:szCs w:val="16"/>
              </w:rPr>
              <w:t>1.200</w:t>
            </w:r>
          </w:p>
        </w:tc>
        <w:tc>
          <w:tcPr>
            <w:tcW w:w="405" w:type="pct"/>
            <w:tcBorders>
              <w:top w:val="nil"/>
              <w:left w:val="nil"/>
              <w:bottom w:val="single" w:sz="4" w:space="0" w:color="auto"/>
              <w:right w:val="dashSmallGap" w:sz="4" w:space="0" w:color="auto"/>
            </w:tcBorders>
            <w:tcMar>
              <w:left w:w="57" w:type="dxa"/>
              <w:right w:w="57" w:type="dxa"/>
            </w:tcMar>
          </w:tcPr>
          <w:p w14:paraId="595CA835" w14:textId="77777777" w:rsidR="00C762CA" w:rsidRPr="00E43C73" w:rsidRDefault="00C762CA" w:rsidP="00C96AF2">
            <w:pPr>
              <w:jc w:val="right"/>
              <w:rPr>
                <w:iCs/>
                <w:sz w:val="16"/>
                <w:szCs w:val="16"/>
              </w:rPr>
            </w:pPr>
            <w:r>
              <w:rPr>
                <w:sz w:val="16"/>
                <w:szCs w:val="16"/>
              </w:rPr>
              <w:t>1.200</w:t>
            </w:r>
          </w:p>
        </w:tc>
        <w:tc>
          <w:tcPr>
            <w:tcW w:w="429" w:type="pct"/>
            <w:tcBorders>
              <w:top w:val="nil"/>
              <w:left w:val="dashSmallGap" w:sz="4" w:space="0" w:color="auto"/>
              <w:bottom w:val="single" w:sz="4" w:space="0" w:color="auto"/>
              <w:right w:val="single" w:sz="4" w:space="0" w:color="auto"/>
            </w:tcBorders>
          </w:tcPr>
          <w:p w14:paraId="52ADE599" w14:textId="77777777" w:rsidR="00C762CA" w:rsidRPr="00E43C73" w:rsidRDefault="00C762CA" w:rsidP="00C96AF2">
            <w:pPr>
              <w:jc w:val="right"/>
              <w:rPr>
                <w:iCs/>
                <w:sz w:val="16"/>
                <w:szCs w:val="16"/>
              </w:rPr>
            </w:pPr>
            <w:r>
              <w:rPr>
                <w:sz w:val="16"/>
                <w:szCs w:val="16"/>
              </w:rPr>
              <w:t>1.200</w:t>
            </w:r>
          </w:p>
        </w:tc>
        <w:tc>
          <w:tcPr>
            <w:tcW w:w="406" w:type="pct"/>
            <w:tcBorders>
              <w:top w:val="nil"/>
              <w:left w:val="single" w:sz="4" w:space="0" w:color="auto"/>
              <w:bottom w:val="single" w:sz="4" w:space="0" w:color="auto"/>
            </w:tcBorders>
            <w:tcMar>
              <w:left w:w="57" w:type="dxa"/>
              <w:right w:w="57" w:type="dxa"/>
            </w:tcMar>
          </w:tcPr>
          <w:p w14:paraId="744E1172" w14:textId="77777777" w:rsidR="00C762CA" w:rsidRPr="00E43C73" w:rsidRDefault="00C762CA" w:rsidP="00C96AF2">
            <w:pPr>
              <w:jc w:val="right"/>
              <w:rPr>
                <w:iCs/>
                <w:sz w:val="16"/>
                <w:szCs w:val="16"/>
              </w:rPr>
            </w:pPr>
            <w:r>
              <w:rPr>
                <w:sz w:val="16"/>
                <w:szCs w:val="16"/>
              </w:rPr>
              <w:t>1.200</w:t>
            </w:r>
          </w:p>
        </w:tc>
        <w:tc>
          <w:tcPr>
            <w:tcW w:w="466" w:type="pct"/>
            <w:tcBorders>
              <w:top w:val="nil"/>
              <w:bottom w:val="single" w:sz="4" w:space="0" w:color="auto"/>
            </w:tcBorders>
          </w:tcPr>
          <w:p w14:paraId="72002DB5" w14:textId="77777777" w:rsidR="00C762CA" w:rsidRPr="00E43C73" w:rsidRDefault="00C762CA" w:rsidP="00C96AF2">
            <w:pPr>
              <w:jc w:val="right"/>
              <w:rPr>
                <w:iCs/>
                <w:sz w:val="16"/>
                <w:szCs w:val="16"/>
              </w:rPr>
            </w:pPr>
            <w:r w:rsidRPr="00E43C73">
              <w:rPr>
                <w:iCs/>
                <w:sz w:val="16"/>
                <w:szCs w:val="16"/>
              </w:rPr>
              <w:t>-</w:t>
            </w:r>
          </w:p>
        </w:tc>
      </w:tr>
    </w:tbl>
    <w:p w14:paraId="0483A24E" w14:textId="77777777" w:rsidR="00A5241A" w:rsidRDefault="00A5241A" w:rsidP="00A5241A">
      <w:pPr>
        <w:rPr>
          <w:iCs/>
        </w:rPr>
      </w:pPr>
      <w:bookmarkStart w:id="296" w:name="_Hlk105571876"/>
    </w:p>
    <w:p w14:paraId="7C4B6FFB" w14:textId="38A3F1E5" w:rsidR="00C762CA" w:rsidRDefault="00C762CA" w:rsidP="00C762CA">
      <w:pPr>
        <w:spacing w:after="240"/>
        <w:rPr>
          <w:iCs/>
        </w:rPr>
      </w:pPr>
      <w:r w:rsidRPr="00707720">
        <w:rPr>
          <w:iCs/>
        </w:rPr>
        <w:lastRenderedPageBreak/>
        <w:t xml:space="preserve">Kommunerne får en andel af selskabsskatten uden for kulbrinteområdet på 14,24 pct. med afregning tre år efter indkomståret. Den foreslåede </w:t>
      </w:r>
      <w:r w:rsidR="00B0240E">
        <w:rPr>
          <w:iCs/>
        </w:rPr>
        <w:t>lagerbeskatning</w:t>
      </w:r>
      <w:r w:rsidRPr="00707720">
        <w:rPr>
          <w:iCs/>
        </w:rPr>
        <w:t xml:space="preserve"> skønnes at medføre et umiddelbart merprovenu for kommunerne på </w:t>
      </w:r>
      <w:r w:rsidR="00504C2A">
        <w:rPr>
          <w:iCs/>
        </w:rPr>
        <w:t>knap</w:t>
      </w:r>
      <w:r w:rsidRPr="00707720">
        <w:rPr>
          <w:iCs/>
        </w:rPr>
        <w:t xml:space="preserve"> </w:t>
      </w:r>
      <w:r w:rsidR="00504C2A">
        <w:rPr>
          <w:iCs/>
        </w:rPr>
        <w:t>230</w:t>
      </w:r>
      <w:r w:rsidRPr="00707720">
        <w:rPr>
          <w:iCs/>
        </w:rPr>
        <w:t xml:space="preserve"> mio. kr. for 2023 med afregning i 2026. Provenuvirkningen for kommunerne i efterfølgende år følger proportionalt udviklingen i det samlede umiddelbare merprovenu med tre års forsinkelse</w:t>
      </w:r>
      <w:bookmarkEnd w:id="296"/>
      <w:r w:rsidRPr="00707720">
        <w:rPr>
          <w:iCs/>
        </w:rPr>
        <w:t>.</w:t>
      </w:r>
    </w:p>
    <w:p w14:paraId="7513F5A1" w14:textId="2DDEE137" w:rsidR="00C762CA" w:rsidRDefault="00C762CA" w:rsidP="00C762CA">
      <w:r>
        <w:t xml:space="preserve">I forhold til adfærdseffekterne bemærkes, at der overordnet set er to modsatrettede adfærdseffekter forbundet med indførelsen af en lagerbeskatning af ejendomsavancer. For det første indebærer lagerbeskatningen, at det forventede afkast ved at investere i ejendommene falder. Det medfører lavere investeringer på området, hvilket på sigt vil reducere ejendomsmassen og dermed skattegrundlaget. For det andet vil indførelsen af en lagerbeskatning trække i retning af en mere symmetrisk beskatning af selskabers avancer og dermed en mere hensigtsmæssig investeringssammensætning i erhvervslivet. Det skyldes, at den nuværende mulighed for langvarig eller permanent udskydelse af avancebeskatningen indebærer, at </w:t>
      </w:r>
      <w:r w:rsidR="00AB5C96">
        <w:t xml:space="preserve">den nuværende </w:t>
      </w:r>
      <w:r>
        <w:t>beskatning af udlejningsejendomme er for lav sammenholdt med andre investeringer ud fra en samfundsøkonomisk betragtning.</w:t>
      </w:r>
    </w:p>
    <w:p w14:paraId="00E7E445" w14:textId="77777777" w:rsidR="00DF0CE3" w:rsidRDefault="00DF0CE3" w:rsidP="00C762CA"/>
    <w:p w14:paraId="5A72BBCB" w14:textId="628EC17C" w:rsidR="00DF0CE3" w:rsidRDefault="00A32E55" w:rsidP="00C762CA">
      <w:r>
        <w:t>Lagerbeskatningen vurderes isoleret set at medføre adm</w:t>
      </w:r>
      <w:r w:rsidR="00A65302">
        <w:t>inistrative</w:t>
      </w:r>
      <w:r>
        <w:t xml:space="preserve"> udgifter for Skatteforvaltningen på 0,5 mio. kr. i 2022, 0,2 mio. kr. i 2023, 12,1 mio. kr. i 2024, 23,3 mio. kr. årligt i 2025-2026 og 12,5 mio. kr. i 2027 og frem. Udgifterne kan primært henføres til kontrol.</w:t>
      </w:r>
    </w:p>
    <w:p w14:paraId="51757F58" w14:textId="471185DF" w:rsidR="00403F57" w:rsidRDefault="00403F57" w:rsidP="00C762CA"/>
    <w:p w14:paraId="74A72F9C" w14:textId="6BF4C5AA" w:rsidR="00403F57" w:rsidRPr="00403F57" w:rsidRDefault="00264BFD" w:rsidP="006E47A9">
      <w:pPr>
        <w:pStyle w:val="Overskrift2"/>
        <w:rPr>
          <w:rFonts w:eastAsia="Times New Roman"/>
        </w:rPr>
      </w:pPr>
      <w:r>
        <w:rPr>
          <w:rFonts w:cs="Times New Roman"/>
          <w:bCs w:val="0"/>
          <w:iCs/>
          <w:sz w:val="24"/>
          <w:szCs w:val="24"/>
        </w:rPr>
        <w:t>3</w:t>
      </w:r>
      <w:r w:rsidR="00403F57" w:rsidRPr="00813769">
        <w:rPr>
          <w:rFonts w:cs="Times New Roman"/>
          <w:bCs w:val="0"/>
          <w:iCs/>
          <w:sz w:val="24"/>
          <w:szCs w:val="24"/>
        </w:rPr>
        <w:t>.2</w:t>
      </w:r>
      <w:r w:rsidR="0038703E">
        <w:rPr>
          <w:rFonts w:cs="Times New Roman"/>
          <w:bCs w:val="0"/>
          <w:iCs/>
          <w:sz w:val="24"/>
          <w:szCs w:val="24"/>
        </w:rPr>
        <w:t>.</w:t>
      </w:r>
      <w:r w:rsidR="00403F57" w:rsidRPr="00813769">
        <w:rPr>
          <w:rFonts w:cs="Times New Roman"/>
          <w:bCs w:val="0"/>
          <w:iCs/>
          <w:sz w:val="24"/>
          <w:szCs w:val="24"/>
        </w:rPr>
        <w:t xml:space="preserve"> </w:t>
      </w:r>
      <w:r w:rsidR="0038703E">
        <w:rPr>
          <w:rFonts w:cs="Times New Roman"/>
          <w:bCs w:val="0"/>
          <w:iCs/>
          <w:sz w:val="24"/>
          <w:szCs w:val="24"/>
        </w:rPr>
        <w:t>Fastholdelse af loftet over investorfradraget</w:t>
      </w:r>
      <w:r w:rsidR="00403F57" w:rsidRPr="00403F57">
        <w:rPr>
          <w:rFonts w:eastAsia="Times New Roman"/>
        </w:rPr>
        <w:t xml:space="preserve">   </w:t>
      </w:r>
    </w:p>
    <w:p w14:paraId="4CDA7081" w14:textId="72844B2B" w:rsidR="00403F57" w:rsidRPr="00813769" w:rsidRDefault="00403F57" w:rsidP="00813769">
      <w:r w:rsidRPr="00813769">
        <w:t>Det er forbundet med nogen usikkerhed at vurdere de provenumæssige konsekvenser ved at fastholde loft</w:t>
      </w:r>
      <w:r w:rsidR="00633821">
        <w:t>et</w:t>
      </w:r>
      <w:r w:rsidRPr="00813769">
        <w:t xml:space="preserve"> i investorfradraget, da ordningen forsat er under indfasning.</w:t>
      </w:r>
    </w:p>
    <w:p w14:paraId="731AD003" w14:textId="77777777" w:rsidR="00403F57" w:rsidRPr="00813769" w:rsidRDefault="00403F57" w:rsidP="00813769"/>
    <w:p w14:paraId="43B47690" w14:textId="4F54B061" w:rsidR="00F8075D" w:rsidRDefault="00403F57" w:rsidP="00F8075D">
      <w:r w:rsidRPr="00813769">
        <w:t xml:space="preserve">Provenuvurderingen tager udgangspunkt i de skønnede effekter ved fastholdelsen af loft over investorfradraget samt de seneste opgørelser over anvendelsen af ordningen. Tal for anvendelsen viser, at brugen af ordningen har været markant mindre, end hvad der blev lagt til grund i provenuvurderingen i forbindelse med lov nr. 1707 af 27. december 2018. </w:t>
      </w:r>
      <w:r w:rsidR="00430667">
        <w:t>Det fremgår af Folketingstidende samling 2018-2019 (1. samli</w:t>
      </w:r>
      <w:r w:rsidR="00034BCF">
        <w:t>n</w:t>
      </w:r>
      <w:r w:rsidR="00430667">
        <w:t>g) lovforslag 101 – tillæg A, at f</w:t>
      </w:r>
      <w:r w:rsidRPr="00813769">
        <w:t>orventningen var, at provenuvirkningen ville udgøre et årligt mindreprovenu efter tilbageløb og adfærd på ca. 1</w:t>
      </w:r>
      <w:r w:rsidR="00512346">
        <w:t>0</w:t>
      </w:r>
      <w:r w:rsidRPr="00813769">
        <w:t>5 mio. kr. fra 2019 til 2022 og 20</w:t>
      </w:r>
      <w:r w:rsidR="00512346">
        <w:t>5</w:t>
      </w:r>
      <w:r w:rsidRPr="00813769">
        <w:t xml:space="preserve"> mio. kr. i årene fra 2023 og frem (202</w:t>
      </w:r>
      <w:r w:rsidR="00994DF3">
        <w:t>0</w:t>
      </w:r>
      <w:r w:rsidRPr="00813769">
        <w:t>-niveau). På baggrund af den faktiske anvendelse af ordningen skøn</w:t>
      </w:r>
      <w:r w:rsidR="00782435">
        <w:t>nes det nu, at en fastholdelse af loftet i inve</w:t>
      </w:r>
      <w:r w:rsidR="00782435">
        <w:lastRenderedPageBreak/>
        <w:t xml:space="preserve">storfradraget vil indebære et mindreprovenu på </w:t>
      </w:r>
      <w:r w:rsidRPr="00813769">
        <w:t xml:space="preserve">ca. </w:t>
      </w:r>
      <w:r w:rsidR="00782435">
        <w:t>20</w:t>
      </w:r>
      <w:r w:rsidR="00782435" w:rsidRPr="00813769">
        <w:t xml:space="preserve"> </w:t>
      </w:r>
      <w:r w:rsidRPr="00813769">
        <w:t>mio. kr.</w:t>
      </w:r>
      <w:r w:rsidR="00782435">
        <w:t xml:space="preserve"> opgjort i varig virkning</w:t>
      </w:r>
      <w:r w:rsidRPr="00813769">
        <w:t xml:space="preserve">, </w:t>
      </w:r>
      <w:r w:rsidRPr="00926716">
        <w:rPr>
          <w:i/>
          <w:iCs/>
        </w:rPr>
        <w:t xml:space="preserve">jf. </w:t>
      </w:r>
      <w:r w:rsidR="00926716">
        <w:rPr>
          <w:i/>
          <w:iCs/>
        </w:rPr>
        <w:t>t</w:t>
      </w:r>
      <w:r w:rsidRPr="00926716">
        <w:rPr>
          <w:i/>
          <w:iCs/>
        </w:rPr>
        <w:t>abel 4.2</w:t>
      </w:r>
      <w:r w:rsidRPr="00813769">
        <w:t>.</w:t>
      </w:r>
      <w:r w:rsidR="00782435">
        <w:t xml:space="preserve"> Det kan desuden bemærkes, at det forudsættes at </w:t>
      </w:r>
      <w:proofErr w:type="spellStart"/>
      <w:r w:rsidR="005C1C60">
        <w:t>mindreprovenuet</w:t>
      </w:r>
      <w:proofErr w:type="spellEnd"/>
      <w:r w:rsidR="005C1C60">
        <w:t xml:space="preserve"> </w:t>
      </w:r>
      <w:r w:rsidR="00782435">
        <w:t xml:space="preserve">vil </w:t>
      </w:r>
      <w:r w:rsidR="005C1C60">
        <w:t xml:space="preserve">øges </w:t>
      </w:r>
      <w:r w:rsidR="00782435" w:rsidRPr="00813769">
        <w:t>frem mod 2029</w:t>
      </w:r>
      <w:r w:rsidR="005C1C60">
        <w:t xml:space="preserve"> i takt med en forventet fortsat udbredelse af ordningen.</w:t>
      </w:r>
    </w:p>
    <w:p w14:paraId="43A4CFE5" w14:textId="77777777" w:rsidR="00F8075D" w:rsidRPr="00F8075D" w:rsidRDefault="00F8075D" w:rsidP="00813769">
      <w:pPr>
        <w:rPr>
          <w:iCs/>
        </w:rPr>
      </w:pPr>
    </w:p>
    <w:tbl>
      <w:tblPr>
        <w:tblStyle w:val="TableGrid1"/>
        <w:tblW w:w="5000" w:type="pct"/>
        <w:tblBorders>
          <w:left w:val="none" w:sz="0" w:space="0" w:color="auto"/>
          <w:right w:val="none" w:sz="0" w:space="0" w:color="auto"/>
        </w:tblBorders>
        <w:tblLook w:val="04A0" w:firstRow="1" w:lastRow="0" w:firstColumn="1" w:lastColumn="0" w:noHBand="0" w:noVBand="1"/>
      </w:tblPr>
      <w:tblGrid>
        <w:gridCol w:w="2956"/>
        <w:gridCol w:w="535"/>
        <w:gridCol w:w="536"/>
        <w:gridCol w:w="536"/>
        <w:gridCol w:w="536"/>
        <w:gridCol w:w="575"/>
        <w:gridCol w:w="533"/>
        <w:gridCol w:w="1021"/>
      </w:tblGrid>
      <w:tr w:rsidR="00F8075D" w:rsidRPr="00F8075D" w14:paraId="004FCA80" w14:textId="77777777" w:rsidTr="009F2ACA">
        <w:tc>
          <w:tcPr>
            <w:tcW w:w="5000" w:type="pct"/>
            <w:gridSpan w:val="8"/>
            <w:tcBorders>
              <w:bottom w:val="single" w:sz="4" w:space="0" w:color="auto"/>
            </w:tcBorders>
          </w:tcPr>
          <w:p w14:paraId="7D354973" w14:textId="776260DE" w:rsidR="00F8075D" w:rsidRPr="00F8075D" w:rsidRDefault="00F8075D" w:rsidP="00F8075D">
            <w:pPr>
              <w:rPr>
                <w:b/>
                <w:bCs/>
                <w:iCs/>
                <w:sz w:val="16"/>
                <w:szCs w:val="16"/>
              </w:rPr>
            </w:pPr>
            <w:r w:rsidRPr="00F8075D">
              <w:rPr>
                <w:b/>
                <w:bCs/>
                <w:iCs/>
                <w:sz w:val="16"/>
                <w:szCs w:val="16"/>
              </w:rPr>
              <w:t>Tabel 4.2 Provenuvirkning ved fastholdelsen af loft over invest</w:t>
            </w:r>
            <w:r w:rsidR="00782435">
              <w:rPr>
                <w:b/>
                <w:bCs/>
                <w:iCs/>
                <w:sz w:val="16"/>
                <w:szCs w:val="16"/>
              </w:rPr>
              <w:t>o</w:t>
            </w:r>
            <w:r w:rsidRPr="00F8075D">
              <w:rPr>
                <w:b/>
                <w:bCs/>
                <w:iCs/>
                <w:sz w:val="16"/>
                <w:szCs w:val="16"/>
              </w:rPr>
              <w:t>rfradraget</w:t>
            </w:r>
          </w:p>
        </w:tc>
      </w:tr>
      <w:tr w:rsidR="00F8075D" w:rsidRPr="00F8075D" w14:paraId="1B939A59" w14:textId="77777777" w:rsidTr="00F8075D">
        <w:tc>
          <w:tcPr>
            <w:tcW w:w="2044" w:type="pct"/>
            <w:tcBorders>
              <w:bottom w:val="single" w:sz="4" w:space="0" w:color="auto"/>
            </w:tcBorders>
          </w:tcPr>
          <w:p w14:paraId="10183E96" w14:textId="77777777" w:rsidR="00F8075D" w:rsidRPr="00F8075D" w:rsidRDefault="00F8075D" w:rsidP="00F8075D">
            <w:pPr>
              <w:rPr>
                <w:iCs/>
                <w:sz w:val="16"/>
                <w:szCs w:val="16"/>
              </w:rPr>
            </w:pPr>
          </w:p>
          <w:p w14:paraId="0D25A8CF" w14:textId="77777777" w:rsidR="00F8075D" w:rsidRPr="00F8075D" w:rsidRDefault="00F8075D" w:rsidP="00F8075D">
            <w:pPr>
              <w:rPr>
                <w:iCs/>
                <w:sz w:val="16"/>
                <w:szCs w:val="16"/>
              </w:rPr>
            </w:pPr>
            <w:r w:rsidRPr="00F8075D">
              <w:rPr>
                <w:iCs/>
                <w:sz w:val="16"/>
                <w:szCs w:val="16"/>
              </w:rPr>
              <w:t>Mio. kr. (2022-niveau)</w:t>
            </w:r>
          </w:p>
        </w:tc>
        <w:tc>
          <w:tcPr>
            <w:tcW w:w="370" w:type="pct"/>
            <w:tcBorders>
              <w:left w:val="nil"/>
              <w:bottom w:val="single" w:sz="4" w:space="0" w:color="auto"/>
              <w:right w:val="nil"/>
            </w:tcBorders>
            <w:tcMar>
              <w:left w:w="57" w:type="dxa"/>
              <w:right w:w="57" w:type="dxa"/>
            </w:tcMar>
          </w:tcPr>
          <w:p w14:paraId="78C9C466" w14:textId="77777777" w:rsidR="00F8075D" w:rsidRPr="00F8075D" w:rsidRDefault="00F8075D" w:rsidP="00F8075D">
            <w:pPr>
              <w:jc w:val="right"/>
              <w:rPr>
                <w:iCs/>
                <w:sz w:val="16"/>
                <w:szCs w:val="16"/>
              </w:rPr>
            </w:pPr>
          </w:p>
          <w:p w14:paraId="6F808015" w14:textId="77777777" w:rsidR="00F8075D" w:rsidRPr="00F8075D" w:rsidRDefault="00F8075D" w:rsidP="00F8075D">
            <w:pPr>
              <w:jc w:val="right"/>
              <w:rPr>
                <w:iCs/>
                <w:sz w:val="16"/>
                <w:szCs w:val="16"/>
              </w:rPr>
            </w:pPr>
            <w:r w:rsidRPr="00F8075D">
              <w:rPr>
                <w:iCs/>
                <w:sz w:val="16"/>
                <w:szCs w:val="16"/>
              </w:rPr>
              <w:t>2022</w:t>
            </w:r>
          </w:p>
        </w:tc>
        <w:tc>
          <w:tcPr>
            <w:tcW w:w="371" w:type="pct"/>
            <w:tcBorders>
              <w:left w:val="nil"/>
              <w:bottom w:val="single" w:sz="4" w:space="0" w:color="auto"/>
              <w:right w:val="nil"/>
            </w:tcBorders>
            <w:tcMar>
              <w:left w:w="57" w:type="dxa"/>
              <w:right w:w="57" w:type="dxa"/>
            </w:tcMar>
          </w:tcPr>
          <w:p w14:paraId="2FBEA1C9" w14:textId="77777777" w:rsidR="00F8075D" w:rsidRPr="00F8075D" w:rsidRDefault="00F8075D" w:rsidP="00F8075D">
            <w:pPr>
              <w:jc w:val="right"/>
              <w:rPr>
                <w:iCs/>
                <w:sz w:val="16"/>
                <w:szCs w:val="16"/>
              </w:rPr>
            </w:pPr>
          </w:p>
          <w:p w14:paraId="3F51751C" w14:textId="77777777" w:rsidR="00F8075D" w:rsidRPr="00F8075D" w:rsidRDefault="00F8075D" w:rsidP="00F8075D">
            <w:pPr>
              <w:jc w:val="right"/>
              <w:rPr>
                <w:iCs/>
                <w:sz w:val="16"/>
                <w:szCs w:val="16"/>
              </w:rPr>
            </w:pPr>
            <w:r w:rsidRPr="00F8075D">
              <w:rPr>
                <w:iCs/>
                <w:sz w:val="16"/>
                <w:szCs w:val="16"/>
              </w:rPr>
              <w:t>2023</w:t>
            </w:r>
          </w:p>
        </w:tc>
        <w:tc>
          <w:tcPr>
            <w:tcW w:w="371" w:type="pct"/>
            <w:tcBorders>
              <w:left w:val="nil"/>
              <w:bottom w:val="single" w:sz="4" w:space="0" w:color="auto"/>
              <w:right w:val="nil"/>
            </w:tcBorders>
            <w:tcMar>
              <w:left w:w="57" w:type="dxa"/>
              <w:right w:w="57" w:type="dxa"/>
            </w:tcMar>
          </w:tcPr>
          <w:p w14:paraId="33068BE3" w14:textId="77777777" w:rsidR="00F8075D" w:rsidRPr="00F8075D" w:rsidRDefault="00F8075D" w:rsidP="00F8075D">
            <w:pPr>
              <w:jc w:val="right"/>
              <w:rPr>
                <w:iCs/>
                <w:sz w:val="16"/>
                <w:szCs w:val="16"/>
              </w:rPr>
            </w:pPr>
          </w:p>
          <w:p w14:paraId="1D315FB4" w14:textId="77777777" w:rsidR="00F8075D" w:rsidRPr="00F8075D" w:rsidRDefault="00F8075D" w:rsidP="00F8075D">
            <w:pPr>
              <w:jc w:val="right"/>
              <w:rPr>
                <w:iCs/>
                <w:sz w:val="16"/>
                <w:szCs w:val="16"/>
              </w:rPr>
            </w:pPr>
            <w:r w:rsidRPr="00F8075D">
              <w:rPr>
                <w:iCs/>
                <w:sz w:val="16"/>
                <w:szCs w:val="16"/>
              </w:rPr>
              <w:t>2024</w:t>
            </w:r>
          </w:p>
        </w:tc>
        <w:tc>
          <w:tcPr>
            <w:tcW w:w="371" w:type="pct"/>
            <w:tcBorders>
              <w:left w:val="nil"/>
              <w:bottom w:val="single" w:sz="4" w:space="0" w:color="auto"/>
              <w:right w:val="dashSmallGap" w:sz="4" w:space="0" w:color="auto"/>
            </w:tcBorders>
            <w:tcMar>
              <w:left w:w="57" w:type="dxa"/>
              <w:right w:w="57" w:type="dxa"/>
            </w:tcMar>
          </w:tcPr>
          <w:p w14:paraId="0A3146DF" w14:textId="77777777" w:rsidR="00F8075D" w:rsidRPr="00F8075D" w:rsidRDefault="00F8075D" w:rsidP="00F8075D">
            <w:pPr>
              <w:jc w:val="right"/>
              <w:rPr>
                <w:iCs/>
                <w:sz w:val="16"/>
                <w:szCs w:val="16"/>
              </w:rPr>
            </w:pPr>
          </w:p>
          <w:p w14:paraId="1F78A19F" w14:textId="77777777" w:rsidR="00F8075D" w:rsidRPr="00F8075D" w:rsidRDefault="00F8075D" w:rsidP="00F8075D">
            <w:pPr>
              <w:jc w:val="right"/>
              <w:rPr>
                <w:iCs/>
                <w:sz w:val="16"/>
                <w:szCs w:val="16"/>
              </w:rPr>
            </w:pPr>
            <w:r w:rsidRPr="00F8075D">
              <w:rPr>
                <w:iCs/>
                <w:sz w:val="16"/>
                <w:szCs w:val="16"/>
              </w:rPr>
              <w:t>2025</w:t>
            </w:r>
          </w:p>
        </w:tc>
        <w:tc>
          <w:tcPr>
            <w:tcW w:w="398" w:type="pct"/>
            <w:tcBorders>
              <w:left w:val="dashSmallGap" w:sz="4" w:space="0" w:color="auto"/>
              <w:bottom w:val="single" w:sz="4" w:space="0" w:color="auto"/>
            </w:tcBorders>
          </w:tcPr>
          <w:p w14:paraId="71DD049C" w14:textId="77777777" w:rsidR="00F8075D" w:rsidRPr="00F8075D" w:rsidRDefault="00F8075D" w:rsidP="00F8075D">
            <w:pPr>
              <w:jc w:val="right"/>
              <w:rPr>
                <w:iCs/>
                <w:sz w:val="16"/>
                <w:szCs w:val="16"/>
              </w:rPr>
            </w:pPr>
          </w:p>
          <w:p w14:paraId="4706C92F" w14:textId="77777777" w:rsidR="00F8075D" w:rsidRPr="00F8075D" w:rsidRDefault="00F8075D" w:rsidP="00F8075D">
            <w:pPr>
              <w:jc w:val="right"/>
              <w:rPr>
                <w:iCs/>
                <w:sz w:val="16"/>
                <w:szCs w:val="16"/>
              </w:rPr>
            </w:pPr>
            <w:r w:rsidRPr="00F8075D">
              <w:rPr>
                <w:iCs/>
                <w:sz w:val="16"/>
                <w:szCs w:val="16"/>
              </w:rPr>
              <w:t>2030</w:t>
            </w:r>
          </w:p>
        </w:tc>
        <w:tc>
          <w:tcPr>
            <w:tcW w:w="369" w:type="pct"/>
            <w:tcBorders>
              <w:bottom w:val="single" w:sz="4" w:space="0" w:color="auto"/>
            </w:tcBorders>
            <w:tcMar>
              <w:left w:w="57" w:type="dxa"/>
              <w:right w:w="57" w:type="dxa"/>
            </w:tcMar>
          </w:tcPr>
          <w:p w14:paraId="6A60FB4B" w14:textId="77777777" w:rsidR="00F8075D" w:rsidRPr="00F8075D" w:rsidRDefault="00F8075D" w:rsidP="00F8075D">
            <w:pPr>
              <w:jc w:val="center"/>
              <w:rPr>
                <w:iCs/>
                <w:sz w:val="16"/>
                <w:szCs w:val="16"/>
              </w:rPr>
            </w:pPr>
          </w:p>
          <w:p w14:paraId="259569AE" w14:textId="77777777" w:rsidR="00F8075D" w:rsidRPr="00F8075D" w:rsidRDefault="00F8075D" w:rsidP="00F8075D">
            <w:pPr>
              <w:jc w:val="center"/>
              <w:rPr>
                <w:iCs/>
                <w:sz w:val="16"/>
                <w:szCs w:val="16"/>
              </w:rPr>
            </w:pPr>
            <w:r w:rsidRPr="00F8075D">
              <w:rPr>
                <w:iCs/>
                <w:sz w:val="16"/>
                <w:szCs w:val="16"/>
              </w:rPr>
              <w:t>Varigt</w:t>
            </w:r>
          </w:p>
        </w:tc>
        <w:tc>
          <w:tcPr>
            <w:tcW w:w="706" w:type="pct"/>
            <w:tcBorders>
              <w:bottom w:val="single" w:sz="4" w:space="0" w:color="auto"/>
            </w:tcBorders>
            <w:tcMar>
              <w:left w:w="57" w:type="dxa"/>
              <w:right w:w="57" w:type="dxa"/>
            </w:tcMar>
          </w:tcPr>
          <w:p w14:paraId="7003EE3B" w14:textId="77777777" w:rsidR="00F8075D" w:rsidRPr="00F8075D" w:rsidRDefault="00F8075D" w:rsidP="00F8075D">
            <w:pPr>
              <w:jc w:val="center"/>
              <w:rPr>
                <w:iCs/>
                <w:sz w:val="16"/>
                <w:szCs w:val="16"/>
              </w:rPr>
            </w:pPr>
            <w:r w:rsidRPr="00F8075D">
              <w:rPr>
                <w:iCs/>
                <w:sz w:val="16"/>
                <w:szCs w:val="16"/>
              </w:rPr>
              <w:t>Finansår</w:t>
            </w:r>
          </w:p>
          <w:p w14:paraId="61D74C36" w14:textId="77777777" w:rsidR="00F8075D" w:rsidRPr="00F8075D" w:rsidRDefault="00F8075D" w:rsidP="00F8075D">
            <w:pPr>
              <w:jc w:val="center"/>
              <w:rPr>
                <w:iCs/>
                <w:sz w:val="16"/>
                <w:szCs w:val="16"/>
              </w:rPr>
            </w:pPr>
            <w:r w:rsidRPr="00F8075D">
              <w:rPr>
                <w:iCs/>
                <w:sz w:val="16"/>
                <w:szCs w:val="16"/>
              </w:rPr>
              <w:t>2023</w:t>
            </w:r>
          </w:p>
        </w:tc>
      </w:tr>
      <w:tr w:rsidR="00F8075D" w:rsidRPr="00F8075D" w14:paraId="183D17F2" w14:textId="77777777" w:rsidTr="00813769">
        <w:tc>
          <w:tcPr>
            <w:tcW w:w="2044" w:type="pct"/>
            <w:tcBorders>
              <w:bottom w:val="nil"/>
            </w:tcBorders>
          </w:tcPr>
          <w:p w14:paraId="0894FCEF" w14:textId="77777777" w:rsidR="00F8075D" w:rsidRPr="00F8075D" w:rsidRDefault="00F8075D" w:rsidP="00F8075D">
            <w:pPr>
              <w:rPr>
                <w:iCs/>
                <w:sz w:val="16"/>
                <w:szCs w:val="16"/>
              </w:rPr>
            </w:pPr>
            <w:r w:rsidRPr="00F8075D">
              <w:rPr>
                <w:iCs/>
                <w:sz w:val="16"/>
                <w:szCs w:val="16"/>
              </w:rPr>
              <w:t>Umiddelbar virkning</w:t>
            </w:r>
          </w:p>
        </w:tc>
        <w:tc>
          <w:tcPr>
            <w:tcW w:w="370" w:type="pct"/>
            <w:tcBorders>
              <w:left w:val="nil"/>
              <w:bottom w:val="nil"/>
              <w:right w:val="nil"/>
            </w:tcBorders>
            <w:tcMar>
              <w:left w:w="57" w:type="dxa"/>
              <w:right w:w="57" w:type="dxa"/>
            </w:tcMar>
          </w:tcPr>
          <w:p w14:paraId="56B823EE" w14:textId="77777777" w:rsidR="00F8075D" w:rsidRPr="00F8075D" w:rsidRDefault="00F8075D" w:rsidP="00813769">
            <w:pPr>
              <w:jc w:val="center"/>
              <w:rPr>
                <w:iCs/>
                <w:sz w:val="16"/>
                <w:szCs w:val="16"/>
              </w:rPr>
            </w:pPr>
            <w:r w:rsidRPr="00F8075D">
              <w:rPr>
                <w:iCs/>
                <w:sz w:val="16"/>
                <w:szCs w:val="16"/>
              </w:rPr>
              <w:t>-</w:t>
            </w:r>
          </w:p>
        </w:tc>
        <w:tc>
          <w:tcPr>
            <w:tcW w:w="371" w:type="pct"/>
            <w:tcBorders>
              <w:left w:val="nil"/>
              <w:bottom w:val="nil"/>
              <w:right w:val="nil"/>
            </w:tcBorders>
            <w:tcMar>
              <w:left w:w="57" w:type="dxa"/>
              <w:right w:w="57" w:type="dxa"/>
            </w:tcMar>
            <w:vAlign w:val="center"/>
          </w:tcPr>
          <w:p w14:paraId="714749C2" w14:textId="1E5AF6A8" w:rsidR="00F8075D" w:rsidRPr="00F8075D" w:rsidRDefault="00F8075D" w:rsidP="00813769">
            <w:pPr>
              <w:jc w:val="center"/>
              <w:rPr>
                <w:iCs/>
                <w:sz w:val="16"/>
                <w:szCs w:val="16"/>
              </w:rPr>
            </w:pPr>
            <w:r w:rsidRPr="00B57D29">
              <w:rPr>
                <w:rFonts w:eastAsia="Times New Roman" w:cs="Times New Roman"/>
                <w:sz w:val="16"/>
                <w:szCs w:val="16"/>
                <w:lang w:eastAsia="da-DK"/>
              </w:rPr>
              <w:t>-6</w:t>
            </w:r>
          </w:p>
        </w:tc>
        <w:tc>
          <w:tcPr>
            <w:tcW w:w="371" w:type="pct"/>
            <w:tcBorders>
              <w:left w:val="nil"/>
              <w:bottom w:val="nil"/>
              <w:right w:val="nil"/>
            </w:tcBorders>
            <w:tcMar>
              <w:left w:w="57" w:type="dxa"/>
              <w:right w:w="57" w:type="dxa"/>
            </w:tcMar>
            <w:vAlign w:val="center"/>
          </w:tcPr>
          <w:p w14:paraId="56E591AF" w14:textId="21CF2900" w:rsidR="00F8075D" w:rsidRPr="00F8075D" w:rsidRDefault="00F8075D" w:rsidP="00813769">
            <w:pPr>
              <w:jc w:val="center"/>
              <w:rPr>
                <w:iCs/>
                <w:sz w:val="16"/>
                <w:szCs w:val="16"/>
              </w:rPr>
            </w:pPr>
            <w:r w:rsidRPr="00B57D29">
              <w:rPr>
                <w:rFonts w:eastAsia="Times New Roman" w:cs="Times New Roman"/>
                <w:sz w:val="16"/>
                <w:szCs w:val="16"/>
                <w:lang w:eastAsia="da-DK"/>
              </w:rPr>
              <w:t>-8</w:t>
            </w:r>
          </w:p>
        </w:tc>
        <w:tc>
          <w:tcPr>
            <w:tcW w:w="371" w:type="pct"/>
            <w:tcBorders>
              <w:left w:val="nil"/>
              <w:bottom w:val="nil"/>
              <w:right w:val="dashSmallGap" w:sz="4" w:space="0" w:color="auto"/>
            </w:tcBorders>
            <w:tcMar>
              <w:left w:w="57" w:type="dxa"/>
              <w:right w:w="57" w:type="dxa"/>
            </w:tcMar>
            <w:vAlign w:val="center"/>
          </w:tcPr>
          <w:p w14:paraId="4012CA4E" w14:textId="664885D5" w:rsidR="00F8075D" w:rsidRPr="00F8075D" w:rsidRDefault="00F8075D" w:rsidP="00813769">
            <w:pPr>
              <w:jc w:val="center"/>
              <w:rPr>
                <w:iCs/>
                <w:sz w:val="16"/>
                <w:szCs w:val="16"/>
              </w:rPr>
            </w:pPr>
            <w:r w:rsidRPr="00B57D29">
              <w:rPr>
                <w:rFonts w:eastAsia="Times New Roman" w:cs="Times New Roman"/>
                <w:sz w:val="16"/>
                <w:szCs w:val="16"/>
                <w:lang w:eastAsia="da-DK"/>
              </w:rPr>
              <w:t>-10</w:t>
            </w:r>
          </w:p>
        </w:tc>
        <w:tc>
          <w:tcPr>
            <w:tcW w:w="398" w:type="pct"/>
            <w:tcBorders>
              <w:left w:val="dashSmallGap" w:sz="4" w:space="0" w:color="auto"/>
              <w:bottom w:val="nil"/>
              <w:right w:val="single" w:sz="4" w:space="0" w:color="auto"/>
            </w:tcBorders>
            <w:vAlign w:val="center"/>
          </w:tcPr>
          <w:p w14:paraId="2BE7E31C" w14:textId="38D6F90B" w:rsidR="00F8075D" w:rsidRPr="00F8075D" w:rsidRDefault="00F8075D" w:rsidP="00813769">
            <w:pPr>
              <w:jc w:val="center"/>
              <w:rPr>
                <w:iCs/>
                <w:sz w:val="16"/>
                <w:szCs w:val="16"/>
              </w:rPr>
            </w:pPr>
            <w:r w:rsidRPr="00B57D29">
              <w:rPr>
                <w:rFonts w:eastAsia="Times New Roman" w:cs="Times New Roman"/>
                <w:sz w:val="16"/>
                <w:szCs w:val="16"/>
                <w:lang w:eastAsia="da-DK"/>
              </w:rPr>
              <w:t>-20</w:t>
            </w:r>
          </w:p>
        </w:tc>
        <w:tc>
          <w:tcPr>
            <w:tcW w:w="369" w:type="pct"/>
            <w:tcBorders>
              <w:left w:val="single" w:sz="4" w:space="0" w:color="auto"/>
              <w:bottom w:val="nil"/>
            </w:tcBorders>
            <w:tcMar>
              <w:left w:w="57" w:type="dxa"/>
              <w:right w:w="57" w:type="dxa"/>
            </w:tcMar>
            <w:vAlign w:val="center"/>
          </w:tcPr>
          <w:p w14:paraId="7A007BAA" w14:textId="33EF4728" w:rsidR="00F8075D" w:rsidRPr="00F8075D" w:rsidRDefault="00F8075D" w:rsidP="00813769">
            <w:pPr>
              <w:jc w:val="center"/>
              <w:rPr>
                <w:iCs/>
                <w:sz w:val="16"/>
                <w:szCs w:val="16"/>
              </w:rPr>
            </w:pPr>
            <w:r w:rsidRPr="00B57D29">
              <w:rPr>
                <w:rFonts w:eastAsia="Times New Roman" w:cs="Times New Roman"/>
                <w:sz w:val="16"/>
                <w:szCs w:val="16"/>
                <w:lang w:eastAsia="da-DK"/>
              </w:rPr>
              <w:t>-20</w:t>
            </w:r>
          </w:p>
        </w:tc>
        <w:tc>
          <w:tcPr>
            <w:tcW w:w="706" w:type="pct"/>
            <w:tcBorders>
              <w:bottom w:val="nil"/>
            </w:tcBorders>
            <w:vAlign w:val="center"/>
          </w:tcPr>
          <w:p w14:paraId="7F95286F" w14:textId="4B7BFA4C" w:rsidR="00F8075D" w:rsidRPr="00F8075D" w:rsidRDefault="00F8075D" w:rsidP="00813769">
            <w:pPr>
              <w:jc w:val="center"/>
              <w:rPr>
                <w:iCs/>
                <w:sz w:val="16"/>
                <w:szCs w:val="16"/>
              </w:rPr>
            </w:pPr>
            <w:r w:rsidRPr="00B57D29">
              <w:rPr>
                <w:rFonts w:eastAsia="Times New Roman" w:cs="Times New Roman"/>
                <w:sz w:val="16"/>
                <w:szCs w:val="16"/>
                <w:lang w:eastAsia="da-DK"/>
              </w:rPr>
              <w:t>-6</w:t>
            </w:r>
          </w:p>
        </w:tc>
      </w:tr>
      <w:tr w:rsidR="00F8075D" w:rsidRPr="00F8075D" w14:paraId="6EE470AB" w14:textId="77777777" w:rsidTr="00813769">
        <w:tc>
          <w:tcPr>
            <w:tcW w:w="2044" w:type="pct"/>
            <w:tcBorders>
              <w:top w:val="nil"/>
              <w:bottom w:val="nil"/>
            </w:tcBorders>
          </w:tcPr>
          <w:p w14:paraId="7ACC6EDC" w14:textId="77777777" w:rsidR="00F8075D" w:rsidRPr="00F8075D" w:rsidRDefault="00F8075D" w:rsidP="00F8075D">
            <w:pPr>
              <w:rPr>
                <w:iCs/>
                <w:sz w:val="16"/>
                <w:szCs w:val="16"/>
              </w:rPr>
            </w:pPr>
            <w:r w:rsidRPr="00F8075D">
              <w:rPr>
                <w:iCs/>
                <w:sz w:val="16"/>
                <w:szCs w:val="16"/>
              </w:rPr>
              <w:t>Virkning efter tilbageløb</w:t>
            </w:r>
          </w:p>
        </w:tc>
        <w:tc>
          <w:tcPr>
            <w:tcW w:w="370" w:type="pct"/>
            <w:tcBorders>
              <w:top w:val="nil"/>
              <w:left w:val="nil"/>
              <w:bottom w:val="nil"/>
              <w:right w:val="nil"/>
            </w:tcBorders>
            <w:tcMar>
              <w:left w:w="57" w:type="dxa"/>
              <w:right w:w="57" w:type="dxa"/>
            </w:tcMar>
          </w:tcPr>
          <w:p w14:paraId="0FC5E6DC" w14:textId="77777777" w:rsidR="00F8075D" w:rsidRPr="00F8075D" w:rsidRDefault="00F8075D" w:rsidP="00813769">
            <w:pPr>
              <w:jc w:val="center"/>
              <w:rPr>
                <w:iCs/>
                <w:sz w:val="16"/>
                <w:szCs w:val="16"/>
              </w:rPr>
            </w:pPr>
            <w:r w:rsidRPr="00F8075D">
              <w:rPr>
                <w:iCs/>
                <w:sz w:val="16"/>
                <w:szCs w:val="16"/>
              </w:rPr>
              <w:t>-</w:t>
            </w:r>
          </w:p>
        </w:tc>
        <w:tc>
          <w:tcPr>
            <w:tcW w:w="371" w:type="pct"/>
            <w:tcBorders>
              <w:top w:val="nil"/>
              <w:left w:val="nil"/>
              <w:bottom w:val="nil"/>
              <w:right w:val="nil"/>
            </w:tcBorders>
            <w:tcMar>
              <w:left w:w="57" w:type="dxa"/>
              <w:right w:w="57" w:type="dxa"/>
            </w:tcMar>
            <w:vAlign w:val="center"/>
          </w:tcPr>
          <w:p w14:paraId="36363FFE" w14:textId="5D79253C" w:rsidR="00F8075D" w:rsidRPr="00F8075D" w:rsidRDefault="00F8075D" w:rsidP="00813769">
            <w:pPr>
              <w:jc w:val="center"/>
              <w:rPr>
                <w:iCs/>
                <w:sz w:val="16"/>
                <w:szCs w:val="16"/>
              </w:rPr>
            </w:pPr>
            <w:r w:rsidRPr="00B57D29">
              <w:rPr>
                <w:rFonts w:eastAsia="Times New Roman" w:cs="Times New Roman"/>
                <w:sz w:val="16"/>
                <w:szCs w:val="16"/>
                <w:lang w:eastAsia="da-DK"/>
              </w:rPr>
              <w:t>-5</w:t>
            </w:r>
          </w:p>
        </w:tc>
        <w:tc>
          <w:tcPr>
            <w:tcW w:w="371" w:type="pct"/>
            <w:tcBorders>
              <w:top w:val="nil"/>
              <w:left w:val="nil"/>
              <w:bottom w:val="nil"/>
              <w:right w:val="nil"/>
            </w:tcBorders>
            <w:tcMar>
              <w:left w:w="57" w:type="dxa"/>
              <w:right w:w="57" w:type="dxa"/>
            </w:tcMar>
            <w:vAlign w:val="center"/>
          </w:tcPr>
          <w:p w14:paraId="5A41C458" w14:textId="1F39A938" w:rsidR="00F8075D" w:rsidRPr="00F8075D" w:rsidRDefault="00F8075D" w:rsidP="00813769">
            <w:pPr>
              <w:jc w:val="center"/>
              <w:rPr>
                <w:iCs/>
                <w:sz w:val="16"/>
                <w:szCs w:val="16"/>
              </w:rPr>
            </w:pPr>
            <w:r w:rsidRPr="00B57D29">
              <w:rPr>
                <w:rFonts w:eastAsia="Times New Roman" w:cs="Times New Roman"/>
                <w:sz w:val="16"/>
                <w:szCs w:val="16"/>
                <w:lang w:eastAsia="da-DK"/>
              </w:rPr>
              <w:t>-6</w:t>
            </w:r>
          </w:p>
        </w:tc>
        <w:tc>
          <w:tcPr>
            <w:tcW w:w="371" w:type="pct"/>
            <w:tcBorders>
              <w:top w:val="nil"/>
              <w:left w:val="nil"/>
              <w:bottom w:val="nil"/>
              <w:right w:val="dashSmallGap" w:sz="4" w:space="0" w:color="auto"/>
            </w:tcBorders>
            <w:tcMar>
              <w:left w:w="57" w:type="dxa"/>
              <w:right w:w="57" w:type="dxa"/>
            </w:tcMar>
            <w:vAlign w:val="center"/>
          </w:tcPr>
          <w:p w14:paraId="28165257" w14:textId="3FD75B22" w:rsidR="00F8075D" w:rsidRPr="00F8075D" w:rsidRDefault="00F8075D" w:rsidP="00813769">
            <w:pPr>
              <w:jc w:val="center"/>
              <w:rPr>
                <w:iCs/>
                <w:sz w:val="16"/>
                <w:szCs w:val="16"/>
              </w:rPr>
            </w:pPr>
            <w:r w:rsidRPr="00B57D29">
              <w:rPr>
                <w:rFonts w:eastAsia="Times New Roman" w:cs="Times New Roman"/>
                <w:sz w:val="16"/>
                <w:szCs w:val="16"/>
                <w:lang w:eastAsia="da-DK"/>
              </w:rPr>
              <w:t>-8</w:t>
            </w:r>
          </w:p>
        </w:tc>
        <w:tc>
          <w:tcPr>
            <w:tcW w:w="398" w:type="pct"/>
            <w:tcBorders>
              <w:top w:val="nil"/>
              <w:left w:val="dashSmallGap" w:sz="4" w:space="0" w:color="auto"/>
              <w:bottom w:val="nil"/>
              <w:right w:val="single" w:sz="4" w:space="0" w:color="auto"/>
            </w:tcBorders>
            <w:vAlign w:val="center"/>
          </w:tcPr>
          <w:p w14:paraId="7B619C6F" w14:textId="1F6E4A99" w:rsidR="00F8075D" w:rsidRPr="00F8075D" w:rsidRDefault="00F8075D" w:rsidP="00813769">
            <w:pPr>
              <w:jc w:val="center"/>
              <w:rPr>
                <w:iCs/>
                <w:sz w:val="16"/>
                <w:szCs w:val="16"/>
              </w:rPr>
            </w:pPr>
            <w:r w:rsidRPr="00B57D29">
              <w:rPr>
                <w:rFonts w:eastAsia="Times New Roman" w:cs="Times New Roman"/>
                <w:sz w:val="16"/>
                <w:szCs w:val="16"/>
                <w:lang w:eastAsia="da-DK"/>
              </w:rPr>
              <w:t>-15</w:t>
            </w:r>
          </w:p>
        </w:tc>
        <w:tc>
          <w:tcPr>
            <w:tcW w:w="369" w:type="pct"/>
            <w:tcBorders>
              <w:top w:val="nil"/>
              <w:left w:val="single" w:sz="4" w:space="0" w:color="auto"/>
              <w:bottom w:val="nil"/>
            </w:tcBorders>
            <w:tcMar>
              <w:left w:w="57" w:type="dxa"/>
              <w:right w:w="57" w:type="dxa"/>
            </w:tcMar>
            <w:vAlign w:val="center"/>
          </w:tcPr>
          <w:p w14:paraId="6ABB3D71" w14:textId="11854399" w:rsidR="00F8075D" w:rsidRPr="00F8075D" w:rsidRDefault="00F8075D" w:rsidP="00813769">
            <w:pPr>
              <w:jc w:val="center"/>
              <w:rPr>
                <w:iCs/>
                <w:sz w:val="16"/>
                <w:szCs w:val="16"/>
              </w:rPr>
            </w:pPr>
            <w:r w:rsidRPr="00B57D29">
              <w:rPr>
                <w:rFonts w:eastAsia="Times New Roman" w:cs="Times New Roman"/>
                <w:sz w:val="16"/>
                <w:szCs w:val="16"/>
                <w:lang w:eastAsia="da-DK"/>
              </w:rPr>
              <w:t>-15</w:t>
            </w:r>
          </w:p>
        </w:tc>
        <w:tc>
          <w:tcPr>
            <w:tcW w:w="706" w:type="pct"/>
            <w:tcBorders>
              <w:top w:val="nil"/>
              <w:bottom w:val="nil"/>
            </w:tcBorders>
            <w:vAlign w:val="center"/>
          </w:tcPr>
          <w:p w14:paraId="2C310047" w14:textId="634F79FD" w:rsidR="00F8075D" w:rsidRPr="00F8075D" w:rsidRDefault="00F8075D" w:rsidP="00813769">
            <w:pPr>
              <w:jc w:val="center"/>
              <w:rPr>
                <w:iCs/>
                <w:sz w:val="16"/>
                <w:szCs w:val="16"/>
              </w:rPr>
            </w:pPr>
            <w:r w:rsidRPr="00B57D29">
              <w:rPr>
                <w:rFonts w:eastAsia="Times New Roman" w:cs="Times New Roman"/>
                <w:sz w:val="16"/>
                <w:szCs w:val="16"/>
                <w:lang w:eastAsia="da-DK"/>
              </w:rPr>
              <w:t>-</w:t>
            </w:r>
          </w:p>
        </w:tc>
      </w:tr>
      <w:tr w:rsidR="00F8075D" w:rsidRPr="00F8075D" w14:paraId="5814F611" w14:textId="77777777" w:rsidTr="00813769">
        <w:tc>
          <w:tcPr>
            <w:tcW w:w="2044" w:type="pct"/>
            <w:tcBorders>
              <w:top w:val="nil"/>
              <w:bottom w:val="single" w:sz="4" w:space="0" w:color="auto"/>
            </w:tcBorders>
          </w:tcPr>
          <w:p w14:paraId="5E41C06E" w14:textId="77777777" w:rsidR="00F8075D" w:rsidRPr="00F8075D" w:rsidRDefault="00F8075D" w:rsidP="00F8075D">
            <w:pPr>
              <w:rPr>
                <w:iCs/>
                <w:sz w:val="16"/>
                <w:szCs w:val="16"/>
              </w:rPr>
            </w:pPr>
            <w:r w:rsidRPr="00F8075D">
              <w:rPr>
                <w:iCs/>
                <w:sz w:val="16"/>
                <w:szCs w:val="16"/>
              </w:rPr>
              <w:t>Virkning efter tilbageløb og adfærd</w:t>
            </w:r>
          </w:p>
        </w:tc>
        <w:tc>
          <w:tcPr>
            <w:tcW w:w="370" w:type="pct"/>
            <w:tcBorders>
              <w:top w:val="nil"/>
              <w:left w:val="nil"/>
              <w:bottom w:val="single" w:sz="4" w:space="0" w:color="auto"/>
              <w:right w:val="nil"/>
            </w:tcBorders>
            <w:tcMar>
              <w:left w:w="57" w:type="dxa"/>
              <w:right w:w="57" w:type="dxa"/>
            </w:tcMar>
          </w:tcPr>
          <w:p w14:paraId="1B801EDE" w14:textId="77777777" w:rsidR="00F8075D" w:rsidRPr="00F8075D" w:rsidRDefault="00F8075D" w:rsidP="00813769">
            <w:pPr>
              <w:jc w:val="center"/>
              <w:rPr>
                <w:iCs/>
                <w:sz w:val="16"/>
                <w:szCs w:val="16"/>
              </w:rPr>
            </w:pPr>
            <w:r w:rsidRPr="00F8075D">
              <w:rPr>
                <w:iCs/>
                <w:sz w:val="16"/>
                <w:szCs w:val="16"/>
              </w:rPr>
              <w:t>-</w:t>
            </w:r>
          </w:p>
        </w:tc>
        <w:tc>
          <w:tcPr>
            <w:tcW w:w="371" w:type="pct"/>
            <w:tcBorders>
              <w:top w:val="nil"/>
              <w:left w:val="nil"/>
              <w:bottom w:val="single" w:sz="4" w:space="0" w:color="auto"/>
              <w:right w:val="nil"/>
            </w:tcBorders>
            <w:tcMar>
              <w:left w:w="57" w:type="dxa"/>
              <w:right w:w="57" w:type="dxa"/>
            </w:tcMar>
            <w:vAlign w:val="center"/>
          </w:tcPr>
          <w:p w14:paraId="1D2CFB80" w14:textId="74B1739D" w:rsidR="00F8075D" w:rsidRPr="00F8075D" w:rsidRDefault="00F8075D" w:rsidP="00813769">
            <w:pPr>
              <w:jc w:val="center"/>
              <w:rPr>
                <w:iCs/>
                <w:sz w:val="16"/>
                <w:szCs w:val="16"/>
              </w:rPr>
            </w:pPr>
            <w:r w:rsidRPr="00B57D29">
              <w:rPr>
                <w:rFonts w:eastAsia="Times New Roman" w:cs="Times New Roman"/>
                <w:sz w:val="16"/>
                <w:szCs w:val="16"/>
                <w:lang w:eastAsia="da-DK"/>
              </w:rPr>
              <w:t>-5</w:t>
            </w:r>
          </w:p>
        </w:tc>
        <w:tc>
          <w:tcPr>
            <w:tcW w:w="371" w:type="pct"/>
            <w:tcBorders>
              <w:top w:val="nil"/>
              <w:left w:val="nil"/>
              <w:bottom w:val="single" w:sz="4" w:space="0" w:color="auto"/>
              <w:right w:val="nil"/>
            </w:tcBorders>
            <w:tcMar>
              <w:left w:w="57" w:type="dxa"/>
              <w:right w:w="57" w:type="dxa"/>
            </w:tcMar>
            <w:vAlign w:val="center"/>
          </w:tcPr>
          <w:p w14:paraId="61B91099" w14:textId="510412E4" w:rsidR="00F8075D" w:rsidRPr="00F8075D" w:rsidRDefault="00F8075D" w:rsidP="00813769">
            <w:pPr>
              <w:jc w:val="center"/>
              <w:rPr>
                <w:iCs/>
                <w:sz w:val="16"/>
                <w:szCs w:val="16"/>
              </w:rPr>
            </w:pPr>
            <w:r w:rsidRPr="00B57D29">
              <w:rPr>
                <w:rFonts w:eastAsia="Times New Roman" w:cs="Times New Roman"/>
                <w:sz w:val="16"/>
                <w:szCs w:val="16"/>
                <w:lang w:eastAsia="da-DK"/>
              </w:rPr>
              <w:t>-7</w:t>
            </w:r>
          </w:p>
        </w:tc>
        <w:tc>
          <w:tcPr>
            <w:tcW w:w="371" w:type="pct"/>
            <w:tcBorders>
              <w:top w:val="nil"/>
              <w:left w:val="nil"/>
              <w:bottom w:val="single" w:sz="4" w:space="0" w:color="auto"/>
              <w:right w:val="dashSmallGap" w:sz="4" w:space="0" w:color="auto"/>
            </w:tcBorders>
            <w:tcMar>
              <w:left w:w="57" w:type="dxa"/>
              <w:right w:w="57" w:type="dxa"/>
            </w:tcMar>
            <w:vAlign w:val="center"/>
          </w:tcPr>
          <w:p w14:paraId="13BEB924" w14:textId="0123E9BD" w:rsidR="00F8075D" w:rsidRPr="00F8075D" w:rsidRDefault="00F8075D" w:rsidP="00813769">
            <w:pPr>
              <w:jc w:val="center"/>
              <w:rPr>
                <w:iCs/>
                <w:sz w:val="16"/>
                <w:szCs w:val="16"/>
              </w:rPr>
            </w:pPr>
            <w:r w:rsidRPr="00B57D29">
              <w:rPr>
                <w:rFonts w:eastAsia="Times New Roman" w:cs="Times New Roman"/>
                <w:sz w:val="16"/>
                <w:szCs w:val="16"/>
                <w:lang w:eastAsia="da-DK"/>
              </w:rPr>
              <w:t>-9</w:t>
            </w:r>
          </w:p>
        </w:tc>
        <w:tc>
          <w:tcPr>
            <w:tcW w:w="398" w:type="pct"/>
            <w:tcBorders>
              <w:top w:val="nil"/>
              <w:left w:val="dashSmallGap" w:sz="4" w:space="0" w:color="auto"/>
              <w:bottom w:val="single" w:sz="4" w:space="0" w:color="auto"/>
              <w:right w:val="single" w:sz="4" w:space="0" w:color="auto"/>
            </w:tcBorders>
            <w:vAlign w:val="center"/>
          </w:tcPr>
          <w:p w14:paraId="16D161B6" w14:textId="4CC6E9E6" w:rsidR="00F8075D" w:rsidRPr="00F8075D" w:rsidRDefault="00F8075D" w:rsidP="00813769">
            <w:pPr>
              <w:jc w:val="center"/>
              <w:rPr>
                <w:iCs/>
                <w:sz w:val="16"/>
                <w:szCs w:val="16"/>
              </w:rPr>
            </w:pPr>
            <w:r w:rsidRPr="00B57D29">
              <w:rPr>
                <w:rFonts w:eastAsia="Times New Roman" w:cs="Times New Roman"/>
                <w:sz w:val="16"/>
                <w:szCs w:val="16"/>
                <w:lang w:eastAsia="da-DK"/>
              </w:rPr>
              <w:t>-17</w:t>
            </w:r>
          </w:p>
        </w:tc>
        <w:tc>
          <w:tcPr>
            <w:tcW w:w="369" w:type="pct"/>
            <w:tcBorders>
              <w:top w:val="nil"/>
              <w:left w:val="single" w:sz="4" w:space="0" w:color="auto"/>
              <w:bottom w:val="single" w:sz="4" w:space="0" w:color="auto"/>
            </w:tcBorders>
            <w:tcMar>
              <w:left w:w="57" w:type="dxa"/>
              <w:right w:w="57" w:type="dxa"/>
            </w:tcMar>
            <w:vAlign w:val="center"/>
          </w:tcPr>
          <w:p w14:paraId="799E4F77" w14:textId="7C4A7DED" w:rsidR="00F8075D" w:rsidRPr="00F8075D" w:rsidRDefault="00F8075D" w:rsidP="00813769">
            <w:pPr>
              <w:jc w:val="center"/>
              <w:rPr>
                <w:iCs/>
                <w:sz w:val="16"/>
                <w:szCs w:val="16"/>
              </w:rPr>
            </w:pPr>
            <w:r w:rsidRPr="00B57D29">
              <w:rPr>
                <w:rFonts w:eastAsia="Times New Roman" w:cs="Times New Roman"/>
                <w:sz w:val="16"/>
                <w:szCs w:val="16"/>
                <w:lang w:eastAsia="da-DK"/>
              </w:rPr>
              <w:t>-17</w:t>
            </w:r>
          </w:p>
        </w:tc>
        <w:tc>
          <w:tcPr>
            <w:tcW w:w="706" w:type="pct"/>
            <w:tcBorders>
              <w:top w:val="nil"/>
              <w:bottom w:val="single" w:sz="4" w:space="0" w:color="auto"/>
            </w:tcBorders>
            <w:vAlign w:val="center"/>
          </w:tcPr>
          <w:p w14:paraId="495B8BF4" w14:textId="072C73B0" w:rsidR="00F8075D" w:rsidRPr="00F8075D" w:rsidRDefault="00F8075D" w:rsidP="00813769">
            <w:pPr>
              <w:jc w:val="center"/>
              <w:rPr>
                <w:iCs/>
                <w:sz w:val="16"/>
                <w:szCs w:val="16"/>
              </w:rPr>
            </w:pPr>
            <w:r w:rsidRPr="00B57D29">
              <w:rPr>
                <w:rFonts w:eastAsia="Times New Roman" w:cs="Times New Roman"/>
                <w:sz w:val="16"/>
                <w:szCs w:val="16"/>
                <w:lang w:eastAsia="da-DK"/>
              </w:rPr>
              <w:t>-</w:t>
            </w:r>
          </w:p>
        </w:tc>
      </w:tr>
      <w:tr w:rsidR="00F8075D" w:rsidRPr="00F8075D" w14:paraId="2272069B" w14:textId="77777777" w:rsidTr="00813769">
        <w:tc>
          <w:tcPr>
            <w:tcW w:w="2044" w:type="pct"/>
            <w:tcBorders>
              <w:top w:val="nil"/>
              <w:bottom w:val="single" w:sz="4" w:space="0" w:color="auto"/>
            </w:tcBorders>
            <w:vAlign w:val="center"/>
          </w:tcPr>
          <w:p w14:paraId="4CC337E5" w14:textId="442A606E" w:rsidR="00F8075D" w:rsidRPr="00F8075D" w:rsidRDefault="00F8075D" w:rsidP="00F8075D">
            <w:pPr>
              <w:rPr>
                <w:iCs/>
                <w:sz w:val="16"/>
                <w:szCs w:val="16"/>
              </w:rPr>
            </w:pPr>
            <w:r w:rsidRPr="00B57D29">
              <w:rPr>
                <w:rFonts w:eastAsia="Times New Roman" w:cs="Times New Roman"/>
                <w:sz w:val="16"/>
                <w:szCs w:val="16"/>
                <w:lang w:eastAsia="da-DK"/>
              </w:rPr>
              <w:t>Umiddelbar virkning for kommuneskatten</w:t>
            </w:r>
          </w:p>
        </w:tc>
        <w:tc>
          <w:tcPr>
            <w:tcW w:w="370" w:type="pct"/>
            <w:tcBorders>
              <w:top w:val="nil"/>
              <w:left w:val="nil"/>
              <w:bottom w:val="single" w:sz="4" w:space="0" w:color="auto"/>
              <w:right w:val="nil"/>
            </w:tcBorders>
            <w:tcMar>
              <w:left w:w="57" w:type="dxa"/>
              <w:right w:w="57" w:type="dxa"/>
            </w:tcMar>
          </w:tcPr>
          <w:p w14:paraId="78443C0E" w14:textId="77777777" w:rsidR="00F8075D" w:rsidRPr="00F8075D" w:rsidRDefault="00F8075D" w:rsidP="00813769">
            <w:pPr>
              <w:jc w:val="center"/>
              <w:rPr>
                <w:iCs/>
                <w:sz w:val="16"/>
                <w:szCs w:val="16"/>
              </w:rPr>
            </w:pPr>
            <w:r w:rsidRPr="00F8075D">
              <w:rPr>
                <w:iCs/>
                <w:sz w:val="16"/>
                <w:szCs w:val="16"/>
              </w:rPr>
              <w:t>-</w:t>
            </w:r>
          </w:p>
        </w:tc>
        <w:tc>
          <w:tcPr>
            <w:tcW w:w="371" w:type="pct"/>
            <w:tcBorders>
              <w:top w:val="nil"/>
              <w:left w:val="nil"/>
              <w:bottom w:val="single" w:sz="4" w:space="0" w:color="auto"/>
              <w:right w:val="nil"/>
            </w:tcBorders>
            <w:tcMar>
              <w:left w:w="57" w:type="dxa"/>
              <w:right w:w="57" w:type="dxa"/>
            </w:tcMar>
            <w:vAlign w:val="center"/>
          </w:tcPr>
          <w:p w14:paraId="6CC0EC8E" w14:textId="06B6F19F" w:rsidR="00F8075D" w:rsidRPr="00F8075D" w:rsidRDefault="00F8075D" w:rsidP="00813769">
            <w:pPr>
              <w:jc w:val="center"/>
              <w:rPr>
                <w:iCs/>
                <w:sz w:val="16"/>
                <w:szCs w:val="16"/>
              </w:rPr>
            </w:pPr>
            <w:r w:rsidRPr="00B57D29">
              <w:rPr>
                <w:rFonts w:eastAsia="Times New Roman" w:cs="Times New Roman"/>
                <w:color w:val="000000"/>
                <w:sz w:val="16"/>
                <w:szCs w:val="16"/>
                <w:lang w:eastAsia="da-DK"/>
              </w:rPr>
              <w:t>-6</w:t>
            </w:r>
          </w:p>
        </w:tc>
        <w:tc>
          <w:tcPr>
            <w:tcW w:w="371" w:type="pct"/>
            <w:tcBorders>
              <w:top w:val="nil"/>
              <w:left w:val="nil"/>
              <w:bottom w:val="single" w:sz="4" w:space="0" w:color="auto"/>
              <w:right w:val="nil"/>
            </w:tcBorders>
            <w:tcMar>
              <w:left w:w="57" w:type="dxa"/>
              <w:right w:w="57" w:type="dxa"/>
            </w:tcMar>
            <w:vAlign w:val="center"/>
          </w:tcPr>
          <w:p w14:paraId="403FED03" w14:textId="076E1FEA" w:rsidR="00F8075D" w:rsidRPr="00F8075D" w:rsidRDefault="00F8075D" w:rsidP="00813769">
            <w:pPr>
              <w:jc w:val="center"/>
              <w:rPr>
                <w:iCs/>
                <w:sz w:val="16"/>
                <w:szCs w:val="16"/>
              </w:rPr>
            </w:pPr>
            <w:r w:rsidRPr="00B57D29">
              <w:rPr>
                <w:rFonts w:eastAsia="Times New Roman" w:cs="Times New Roman"/>
                <w:color w:val="000000"/>
                <w:sz w:val="16"/>
                <w:szCs w:val="16"/>
                <w:lang w:eastAsia="da-DK"/>
              </w:rPr>
              <w:t>-8</w:t>
            </w:r>
          </w:p>
        </w:tc>
        <w:tc>
          <w:tcPr>
            <w:tcW w:w="371" w:type="pct"/>
            <w:tcBorders>
              <w:top w:val="nil"/>
              <w:left w:val="nil"/>
              <w:bottom w:val="single" w:sz="4" w:space="0" w:color="auto"/>
              <w:right w:val="dashSmallGap" w:sz="4" w:space="0" w:color="auto"/>
            </w:tcBorders>
            <w:tcMar>
              <w:left w:w="57" w:type="dxa"/>
              <w:right w:w="57" w:type="dxa"/>
            </w:tcMar>
            <w:vAlign w:val="center"/>
          </w:tcPr>
          <w:p w14:paraId="6F745571" w14:textId="56218F43" w:rsidR="00F8075D" w:rsidRPr="00F8075D" w:rsidRDefault="00F8075D" w:rsidP="00813769">
            <w:pPr>
              <w:jc w:val="center"/>
              <w:rPr>
                <w:iCs/>
                <w:sz w:val="16"/>
                <w:szCs w:val="16"/>
              </w:rPr>
            </w:pPr>
            <w:r w:rsidRPr="00B57D29">
              <w:rPr>
                <w:rFonts w:eastAsia="Times New Roman" w:cs="Times New Roman"/>
                <w:color w:val="000000"/>
                <w:sz w:val="16"/>
                <w:szCs w:val="16"/>
                <w:lang w:eastAsia="da-DK"/>
              </w:rPr>
              <w:t>-10</w:t>
            </w:r>
          </w:p>
        </w:tc>
        <w:tc>
          <w:tcPr>
            <w:tcW w:w="398" w:type="pct"/>
            <w:tcBorders>
              <w:top w:val="nil"/>
              <w:left w:val="dashSmallGap" w:sz="4" w:space="0" w:color="auto"/>
              <w:bottom w:val="single" w:sz="4" w:space="0" w:color="auto"/>
              <w:right w:val="single" w:sz="4" w:space="0" w:color="auto"/>
            </w:tcBorders>
            <w:vAlign w:val="center"/>
          </w:tcPr>
          <w:p w14:paraId="5CFEC995" w14:textId="6FDB34DF" w:rsidR="00F8075D" w:rsidRPr="00F8075D" w:rsidRDefault="00F8075D" w:rsidP="00813769">
            <w:pPr>
              <w:jc w:val="center"/>
              <w:rPr>
                <w:iCs/>
                <w:sz w:val="16"/>
                <w:szCs w:val="16"/>
              </w:rPr>
            </w:pPr>
            <w:r w:rsidRPr="00B57D29">
              <w:rPr>
                <w:rFonts w:eastAsia="Times New Roman" w:cs="Times New Roman"/>
                <w:color w:val="000000"/>
                <w:sz w:val="16"/>
                <w:szCs w:val="16"/>
                <w:lang w:eastAsia="da-DK"/>
              </w:rPr>
              <w:t>-19</w:t>
            </w:r>
          </w:p>
        </w:tc>
        <w:tc>
          <w:tcPr>
            <w:tcW w:w="369" w:type="pct"/>
            <w:tcBorders>
              <w:top w:val="nil"/>
              <w:left w:val="single" w:sz="4" w:space="0" w:color="auto"/>
              <w:bottom w:val="single" w:sz="4" w:space="0" w:color="auto"/>
            </w:tcBorders>
            <w:tcMar>
              <w:left w:w="57" w:type="dxa"/>
              <w:right w:w="57" w:type="dxa"/>
            </w:tcMar>
            <w:vAlign w:val="center"/>
          </w:tcPr>
          <w:p w14:paraId="35884AF2" w14:textId="52AFEA2C" w:rsidR="00F8075D" w:rsidRPr="00F8075D" w:rsidRDefault="00F8075D" w:rsidP="00813769">
            <w:pPr>
              <w:jc w:val="center"/>
              <w:rPr>
                <w:iCs/>
                <w:sz w:val="16"/>
                <w:szCs w:val="16"/>
              </w:rPr>
            </w:pPr>
            <w:r w:rsidRPr="00B57D29">
              <w:rPr>
                <w:rFonts w:eastAsia="Times New Roman" w:cs="Times New Roman"/>
                <w:color w:val="000000"/>
                <w:sz w:val="16"/>
                <w:szCs w:val="16"/>
                <w:lang w:eastAsia="da-DK"/>
              </w:rPr>
              <w:t>-19</w:t>
            </w:r>
          </w:p>
        </w:tc>
        <w:tc>
          <w:tcPr>
            <w:tcW w:w="706" w:type="pct"/>
            <w:tcBorders>
              <w:top w:val="nil"/>
              <w:bottom w:val="single" w:sz="4" w:space="0" w:color="auto"/>
            </w:tcBorders>
            <w:vAlign w:val="center"/>
          </w:tcPr>
          <w:p w14:paraId="48AFFC62" w14:textId="389DB7E6" w:rsidR="00F8075D" w:rsidRPr="00F8075D" w:rsidRDefault="00F8075D" w:rsidP="00813769">
            <w:pPr>
              <w:jc w:val="center"/>
              <w:rPr>
                <w:iCs/>
                <w:sz w:val="16"/>
                <w:szCs w:val="16"/>
              </w:rPr>
            </w:pPr>
            <w:r w:rsidRPr="00B57D29">
              <w:rPr>
                <w:rFonts w:eastAsia="Times New Roman" w:cs="Times New Roman"/>
                <w:color w:val="000000"/>
                <w:sz w:val="16"/>
                <w:szCs w:val="16"/>
                <w:lang w:eastAsia="da-DK"/>
              </w:rPr>
              <w:t>-</w:t>
            </w:r>
          </w:p>
        </w:tc>
      </w:tr>
    </w:tbl>
    <w:tbl>
      <w:tblPr>
        <w:tblW w:w="7367" w:type="dxa"/>
        <w:tblCellMar>
          <w:left w:w="70" w:type="dxa"/>
          <w:right w:w="70" w:type="dxa"/>
        </w:tblCellMar>
        <w:tblLook w:val="04A0" w:firstRow="1" w:lastRow="0" w:firstColumn="1" w:lastColumn="0" w:noHBand="0" w:noVBand="1"/>
      </w:tblPr>
      <w:tblGrid>
        <w:gridCol w:w="7367"/>
      </w:tblGrid>
      <w:tr w:rsidR="00F8075D" w:rsidRPr="00B57D29" w14:paraId="25577458" w14:textId="77777777" w:rsidTr="00F8075D">
        <w:trPr>
          <w:trHeight w:val="257"/>
        </w:trPr>
        <w:tc>
          <w:tcPr>
            <w:tcW w:w="7367" w:type="dxa"/>
            <w:tcBorders>
              <w:top w:val="nil"/>
              <w:left w:val="nil"/>
              <w:bottom w:val="nil"/>
              <w:right w:val="nil"/>
            </w:tcBorders>
            <w:shd w:val="clear" w:color="000000" w:fill="FFFFFF"/>
            <w:noWrap/>
            <w:vAlign w:val="bottom"/>
            <w:hideMark/>
          </w:tcPr>
          <w:p w14:paraId="75D91DC1" w14:textId="77777777" w:rsidR="00F8075D" w:rsidRPr="00B57D29" w:rsidRDefault="00F8075D" w:rsidP="009F2ACA">
            <w:pPr>
              <w:spacing w:line="240" w:lineRule="auto"/>
              <w:jc w:val="left"/>
              <w:rPr>
                <w:rFonts w:eastAsia="Times New Roman" w:cs="Times New Roman"/>
                <w:color w:val="000000"/>
                <w:sz w:val="16"/>
                <w:szCs w:val="16"/>
                <w:lang w:eastAsia="da-DK"/>
              </w:rPr>
            </w:pPr>
            <w:proofErr w:type="spellStart"/>
            <w:r w:rsidRPr="00B57D29">
              <w:rPr>
                <w:rFonts w:eastAsia="Times New Roman" w:cs="Times New Roman"/>
                <w:color w:val="000000"/>
                <w:sz w:val="16"/>
                <w:szCs w:val="16"/>
                <w:lang w:eastAsia="da-DK"/>
              </w:rPr>
              <w:t>Anm</w:t>
            </w:r>
            <w:proofErr w:type="spellEnd"/>
            <w:r w:rsidRPr="00B57D29">
              <w:rPr>
                <w:rFonts w:eastAsia="Times New Roman" w:cs="Times New Roman"/>
                <w:color w:val="000000"/>
                <w:sz w:val="16"/>
                <w:szCs w:val="16"/>
                <w:lang w:eastAsia="da-DK"/>
              </w:rPr>
              <w:t>.: Den kommunale virkning er opgjort uden kirkeskat.</w:t>
            </w:r>
          </w:p>
        </w:tc>
      </w:tr>
    </w:tbl>
    <w:p w14:paraId="0352FC2C" w14:textId="77777777" w:rsidR="00F8075D" w:rsidRDefault="00F8075D" w:rsidP="00403F57">
      <w:pPr>
        <w:spacing w:line="280" w:lineRule="atLeast"/>
        <w:jc w:val="left"/>
        <w:rPr>
          <w:rFonts w:eastAsia="Calibri" w:cs="Times New Roman"/>
          <w:iCs/>
          <w:sz w:val="20"/>
          <w:szCs w:val="20"/>
        </w:rPr>
      </w:pPr>
    </w:p>
    <w:p w14:paraId="12313E20" w14:textId="01EC6F29" w:rsidR="005C1C60" w:rsidRDefault="005C1C60" w:rsidP="00813769">
      <w:r>
        <w:t xml:space="preserve">Ved indgåelsen af </w:t>
      </w:r>
      <w:r w:rsidRPr="00815B3E">
        <w:rPr>
          <w:color w:val="000000" w:themeColor="text1"/>
        </w:rPr>
        <w:t>”Aftale om erhvervs- og iværksætterinitiativer” fra november 2017</w:t>
      </w:r>
      <w:r>
        <w:rPr>
          <w:color w:val="000000" w:themeColor="text1"/>
        </w:rPr>
        <w:t xml:space="preserve"> blev der som nævnt ovenfor afsat finansiering på ca. 1</w:t>
      </w:r>
      <w:r w:rsidR="00512346">
        <w:rPr>
          <w:color w:val="000000" w:themeColor="text1"/>
        </w:rPr>
        <w:t>0</w:t>
      </w:r>
      <w:r>
        <w:rPr>
          <w:color w:val="000000" w:themeColor="text1"/>
        </w:rPr>
        <w:t>5 mio. kr. fra 2019 til 2022 og 20</w:t>
      </w:r>
      <w:r w:rsidR="00512346">
        <w:rPr>
          <w:color w:val="000000" w:themeColor="text1"/>
        </w:rPr>
        <w:t>5</w:t>
      </w:r>
      <w:r>
        <w:rPr>
          <w:color w:val="000000" w:themeColor="text1"/>
        </w:rPr>
        <w:t xml:space="preserve"> mio. kr. herefter (202</w:t>
      </w:r>
      <w:r w:rsidR="00994DF3">
        <w:rPr>
          <w:color w:val="000000" w:themeColor="text1"/>
        </w:rPr>
        <w:t>0</w:t>
      </w:r>
      <w:r>
        <w:rPr>
          <w:color w:val="000000" w:themeColor="text1"/>
        </w:rPr>
        <w:t>-niveau), som også blev indarbejdet i Finansministeriets mellemfristede fremskrivninger. En fastholdelse af lofterne i investorfradraget vil dermed indebære et finansieringsbidrag på ca. 105 mio. kr. (202</w:t>
      </w:r>
      <w:r w:rsidR="00994DF3">
        <w:rPr>
          <w:color w:val="000000" w:themeColor="text1"/>
        </w:rPr>
        <w:t>0</w:t>
      </w:r>
      <w:r>
        <w:rPr>
          <w:color w:val="000000" w:themeColor="text1"/>
        </w:rPr>
        <w:t xml:space="preserve">-niveau) efter tilbageløb og adfærd. </w:t>
      </w:r>
    </w:p>
    <w:p w14:paraId="06A617C8" w14:textId="77777777" w:rsidR="001C47A5" w:rsidRPr="00403F57" w:rsidRDefault="001C47A5" w:rsidP="00403F57">
      <w:pPr>
        <w:spacing w:line="280" w:lineRule="atLeast"/>
        <w:jc w:val="left"/>
        <w:rPr>
          <w:rFonts w:eastAsia="Calibri" w:cs="Times New Roman"/>
          <w:iCs/>
          <w:szCs w:val="18"/>
        </w:rPr>
      </w:pPr>
    </w:p>
    <w:p w14:paraId="362000EF" w14:textId="1F23A6FB" w:rsidR="00403F57" w:rsidRPr="00813769" w:rsidRDefault="00403F57" w:rsidP="00813769">
      <w:r w:rsidRPr="00813769">
        <w:t xml:space="preserve">Fastholdelse af loft over investorfradraget </w:t>
      </w:r>
      <w:r w:rsidR="0038703E" w:rsidRPr="00813769">
        <w:t>har</w:t>
      </w:r>
      <w:r w:rsidRPr="00813769">
        <w:t xml:space="preserve"> ikke implementerings</w:t>
      </w:r>
      <w:r w:rsidR="0038703E" w:rsidRPr="00813769">
        <w:t xml:space="preserve">mæssige </w:t>
      </w:r>
      <w:r w:rsidRPr="00813769">
        <w:t>konsekvenser for det offentlige.</w:t>
      </w:r>
    </w:p>
    <w:p w14:paraId="19C30EA9" w14:textId="4D057A41" w:rsidR="00C762CA" w:rsidRPr="00465D62" w:rsidRDefault="00C762CA" w:rsidP="00C762CA"/>
    <w:p w14:paraId="6B1635E5" w14:textId="4CDDA06C" w:rsidR="00C762CA" w:rsidRPr="003B0B97" w:rsidRDefault="00264BFD" w:rsidP="00C762CA">
      <w:pPr>
        <w:pStyle w:val="Overskrift1"/>
        <w:rPr>
          <w:rFonts w:cs="Times New Roman"/>
          <w:bCs w:val="0"/>
          <w:iCs/>
          <w:sz w:val="24"/>
          <w:szCs w:val="24"/>
        </w:rPr>
      </w:pPr>
      <w:r>
        <w:rPr>
          <w:rFonts w:cs="Times New Roman"/>
          <w:bCs w:val="0"/>
          <w:iCs/>
          <w:sz w:val="24"/>
          <w:szCs w:val="24"/>
        </w:rPr>
        <w:t>4</w:t>
      </w:r>
      <w:r w:rsidR="00C762CA" w:rsidRPr="003B0B97">
        <w:rPr>
          <w:rFonts w:cs="Times New Roman"/>
          <w:bCs w:val="0"/>
          <w:iCs/>
          <w:sz w:val="24"/>
          <w:szCs w:val="24"/>
        </w:rPr>
        <w:t>. Økonomiske og administrative konsekvenser for erhvervslivet m</w:t>
      </w:r>
      <w:r w:rsidR="00C762CA">
        <w:rPr>
          <w:rFonts w:cs="Times New Roman"/>
          <w:bCs w:val="0"/>
          <w:iCs/>
          <w:sz w:val="24"/>
          <w:szCs w:val="24"/>
        </w:rPr>
        <w:t>.</w:t>
      </w:r>
      <w:r w:rsidR="00C762CA" w:rsidRPr="003B0B97">
        <w:rPr>
          <w:rFonts w:cs="Times New Roman"/>
          <w:bCs w:val="0"/>
          <w:iCs/>
          <w:sz w:val="24"/>
          <w:szCs w:val="24"/>
        </w:rPr>
        <w:t>v.</w:t>
      </w:r>
    </w:p>
    <w:p w14:paraId="02C10273" w14:textId="1E9E5DDC" w:rsidR="00C762CA" w:rsidRDefault="00264BFD" w:rsidP="00C762CA">
      <w:pPr>
        <w:pStyle w:val="Overskrift2"/>
        <w:rPr>
          <w:rFonts w:cs="Times New Roman"/>
          <w:sz w:val="24"/>
          <w:szCs w:val="24"/>
        </w:rPr>
      </w:pPr>
      <w:r>
        <w:rPr>
          <w:rFonts w:cs="Times New Roman"/>
          <w:sz w:val="24"/>
          <w:szCs w:val="24"/>
        </w:rPr>
        <w:t>4</w:t>
      </w:r>
      <w:r w:rsidR="00C762CA" w:rsidRPr="003B0B97">
        <w:rPr>
          <w:rFonts w:cs="Times New Roman"/>
          <w:sz w:val="24"/>
          <w:szCs w:val="24"/>
        </w:rPr>
        <w:t xml:space="preserve">.1. </w:t>
      </w:r>
      <w:r w:rsidR="00C762CA">
        <w:rPr>
          <w:rFonts w:cs="Times New Roman"/>
          <w:sz w:val="24"/>
          <w:szCs w:val="24"/>
        </w:rPr>
        <w:t>Lagerbeskatning af selskaber ejendomsavancer</w:t>
      </w:r>
    </w:p>
    <w:p w14:paraId="4187A7AE" w14:textId="1553CE7D" w:rsidR="00C762CA" w:rsidRDefault="00C762CA" w:rsidP="00C762CA">
      <w:pPr>
        <w:rPr>
          <w:rFonts w:eastAsia="Calibri" w:cs="Times New Roman"/>
          <w:szCs w:val="24"/>
        </w:rPr>
      </w:pPr>
      <w:r>
        <w:rPr>
          <w:rFonts w:eastAsia="Calibri" w:cs="Times New Roman"/>
          <w:szCs w:val="24"/>
        </w:rPr>
        <w:t xml:space="preserve">Den foreslåede lagerbeskatning af selskabers ejendomsavancer vil </w:t>
      </w:r>
      <w:r>
        <w:t xml:space="preserve">fjerne den nuværende mulighed for </w:t>
      </w:r>
      <w:r w:rsidR="00E35A5B">
        <w:t xml:space="preserve">at </w:t>
      </w:r>
      <w:r w:rsidR="00CE0DBF">
        <w:t xml:space="preserve">udskyde eller </w:t>
      </w:r>
      <w:proofErr w:type="gramStart"/>
      <w:r>
        <w:t>u</w:t>
      </w:r>
      <w:r w:rsidR="00E35A5B">
        <w:t>ndgå</w:t>
      </w:r>
      <w:r>
        <w:t xml:space="preserve">  avancebeskatningen</w:t>
      </w:r>
      <w:proofErr w:type="gramEnd"/>
      <w:r>
        <w:t xml:space="preserve"> af udlejningsejendomme, hvilket isoleret set vil øge beskatningen og reducere </w:t>
      </w:r>
      <w:r w:rsidR="0038703E">
        <w:t>det</w:t>
      </w:r>
      <w:r>
        <w:t xml:space="preserve"> </w:t>
      </w:r>
      <w:r>
        <w:rPr>
          <w:rFonts w:eastAsia="Calibri" w:cs="Times New Roman"/>
          <w:szCs w:val="24"/>
        </w:rPr>
        <w:t>forventede afkast ved at investere i ejendomme.</w:t>
      </w:r>
    </w:p>
    <w:p w14:paraId="029F5C92" w14:textId="36AF0503" w:rsidR="005D57A9" w:rsidRDefault="005D57A9" w:rsidP="00C762CA">
      <w:pPr>
        <w:rPr>
          <w:rFonts w:eastAsia="Calibri" w:cs="Times New Roman"/>
          <w:szCs w:val="24"/>
        </w:rPr>
      </w:pPr>
    </w:p>
    <w:p w14:paraId="736011DD" w14:textId="07AF45C6" w:rsidR="005D57A9" w:rsidRDefault="005D57A9" w:rsidP="00C762CA">
      <w:pPr>
        <w:rPr>
          <w:rFonts w:eastAsia="Calibri" w:cs="Times New Roman"/>
          <w:szCs w:val="24"/>
        </w:rPr>
      </w:pPr>
      <w:r>
        <w:rPr>
          <w:rFonts w:eastAsia="Calibri" w:cs="Times New Roman"/>
          <w:szCs w:val="24"/>
        </w:rPr>
        <w:t>Erhvervsstyrelsens Område for Bedre Regulering (</w:t>
      </w:r>
      <w:r w:rsidRPr="005D57A9">
        <w:rPr>
          <w:rFonts w:eastAsia="Calibri" w:cs="Times New Roman"/>
          <w:szCs w:val="24"/>
        </w:rPr>
        <w:t>OBR</w:t>
      </w:r>
      <w:r>
        <w:rPr>
          <w:rFonts w:eastAsia="Calibri" w:cs="Times New Roman"/>
          <w:szCs w:val="24"/>
        </w:rPr>
        <w:t>)</w:t>
      </w:r>
      <w:r w:rsidRPr="005D57A9">
        <w:rPr>
          <w:rFonts w:eastAsia="Calibri" w:cs="Times New Roman"/>
          <w:szCs w:val="24"/>
        </w:rPr>
        <w:t>vurde</w:t>
      </w:r>
      <w:r w:rsidR="00800927">
        <w:rPr>
          <w:rFonts w:eastAsia="Calibri" w:cs="Times New Roman"/>
          <w:szCs w:val="24"/>
        </w:rPr>
        <w:t>rer</w:t>
      </w:r>
      <w:r w:rsidRPr="005D57A9">
        <w:rPr>
          <w:rFonts w:eastAsia="Calibri" w:cs="Times New Roman"/>
          <w:szCs w:val="24"/>
        </w:rPr>
        <w:t xml:space="preserve">, at lovforslaget medfører administrative konsekvenser for erhvervslivet. Konsekvenserne består dels i løbende byrder for koncerner med en samlet ejendomsportefølje over 100 mio. kr. forbundet med indberetning af lagerbeskatningsoplysninger på baggrund af kendte informationer i form af ejendommenes dagsværdi ved udgangen af året til </w:t>
      </w:r>
      <w:r w:rsidR="00273622">
        <w:rPr>
          <w:rFonts w:eastAsia="Calibri" w:cs="Times New Roman"/>
          <w:szCs w:val="24"/>
        </w:rPr>
        <w:t>S</w:t>
      </w:r>
      <w:r w:rsidRPr="005D57A9">
        <w:rPr>
          <w:rFonts w:eastAsia="Calibri" w:cs="Times New Roman"/>
          <w:szCs w:val="24"/>
        </w:rPr>
        <w:t xml:space="preserve">katteforvaltningen. Herudover medfører lovforslaget løbende administrative lettelser i forbindelse med, at der ikke længere kan foretages skattemæssige afskrivninger på de omfattede ejendomme. </w:t>
      </w:r>
      <w:r w:rsidR="00E35A5B">
        <w:rPr>
          <w:rFonts w:eastAsia="Calibri" w:cs="Times New Roman"/>
          <w:szCs w:val="24"/>
        </w:rPr>
        <w:t>Lovforslaget medfører</w:t>
      </w:r>
      <w:r w:rsidRPr="005D57A9">
        <w:rPr>
          <w:rFonts w:eastAsia="Calibri" w:cs="Times New Roman"/>
          <w:szCs w:val="24"/>
        </w:rPr>
        <w:t xml:space="preserve"> administrative omstillingsomkostninger for de omfattede virksomheder forbundet med opsætning af systemet til at afrapportere de relevante data. Disse konsekvenser vurderes at være under 4 mio. kr., hvorfor de ikke kvantificeres nærmere.</w:t>
      </w:r>
    </w:p>
    <w:p w14:paraId="63975BCB" w14:textId="39AA6842" w:rsidR="00403F57" w:rsidRDefault="00403F57" w:rsidP="00C762CA">
      <w:pPr>
        <w:rPr>
          <w:rFonts w:eastAsia="Calibri" w:cs="Times New Roman"/>
          <w:szCs w:val="24"/>
        </w:rPr>
      </w:pPr>
    </w:p>
    <w:p w14:paraId="00939AE8" w14:textId="398950E2" w:rsidR="0038703E" w:rsidRDefault="0038703E" w:rsidP="00C762CA">
      <w:pPr>
        <w:rPr>
          <w:rFonts w:eastAsia="Calibri" w:cs="Times New Roman"/>
          <w:szCs w:val="24"/>
        </w:rPr>
      </w:pPr>
    </w:p>
    <w:p w14:paraId="63F0B98D" w14:textId="250B530E" w:rsidR="005D57A9" w:rsidRDefault="005D57A9" w:rsidP="00C762CA">
      <w:pPr>
        <w:rPr>
          <w:rFonts w:eastAsia="Calibri" w:cs="Times New Roman"/>
          <w:szCs w:val="24"/>
        </w:rPr>
      </w:pPr>
    </w:p>
    <w:p w14:paraId="3E7E0B17" w14:textId="047C4461" w:rsidR="005D57A9" w:rsidRDefault="005D57A9" w:rsidP="00C762CA">
      <w:pPr>
        <w:rPr>
          <w:rFonts w:eastAsia="Calibri" w:cs="Times New Roman"/>
          <w:szCs w:val="24"/>
        </w:rPr>
      </w:pPr>
    </w:p>
    <w:p w14:paraId="2E57FA9B" w14:textId="77777777" w:rsidR="005D57A9" w:rsidRDefault="005D57A9" w:rsidP="00C762CA">
      <w:pPr>
        <w:rPr>
          <w:rFonts w:eastAsia="Calibri" w:cs="Times New Roman"/>
          <w:szCs w:val="24"/>
        </w:rPr>
      </w:pPr>
    </w:p>
    <w:p w14:paraId="509D3693" w14:textId="35DE8377" w:rsidR="00403F57" w:rsidRPr="00250BE1" w:rsidRDefault="00264BFD" w:rsidP="006E47A9">
      <w:pPr>
        <w:pStyle w:val="Overskrift2"/>
      </w:pPr>
      <w:r>
        <w:rPr>
          <w:rFonts w:cs="Times New Roman"/>
          <w:bCs w:val="0"/>
          <w:iCs/>
          <w:sz w:val="24"/>
          <w:szCs w:val="24"/>
        </w:rPr>
        <w:t>4</w:t>
      </w:r>
      <w:r w:rsidR="0038703E">
        <w:rPr>
          <w:rFonts w:cs="Times New Roman"/>
          <w:bCs w:val="0"/>
          <w:iCs/>
          <w:sz w:val="24"/>
          <w:szCs w:val="24"/>
        </w:rPr>
        <w:t>.</w:t>
      </w:r>
      <w:r w:rsidR="0038703E" w:rsidRPr="00A415C1">
        <w:rPr>
          <w:rFonts w:cs="Times New Roman"/>
          <w:bCs w:val="0"/>
          <w:iCs/>
          <w:sz w:val="24"/>
          <w:szCs w:val="24"/>
        </w:rPr>
        <w:t>2</w:t>
      </w:r>
      <w:r w:rsidR="0038703E">
        <w:rPr>
          <w:rFonts w:cs="Times New Roman"/>
          <w:bCs w:val="0"/>
          <w:iCs/>
          <w:sz w:val="24"/>
          <w:szCs w:val="24"/>
        </w:rPr>
        <w:t>.</w:t>
      </w:r>
      <w:r w:rsidR="0038703E" w:rsidRPr="00A415C1">
        <w:rPr>
          <w:rFonts w:cs="Times New Roman"/>
          <w:bCs w:val="0"/>
          <w:iCs/>
          <w:sz w:val="24"/>
          <w:szCs w:val="24"/>
        </w:rPr>
        <w:t xml:space="preserve"> </w:t>
      </w:r>
      <w:r w:rsidR="0038703E">
        <w:rPr>
          <w:rFonts w:cs="Times New Roman"/>
          <w:bCs w:val="0"/>
          <w:iCs/>
          <w:sz w:val="24"/>
          <w:szCs w:val="24"/>
        </w:rPr>
        <w:t>Fastholdelse af loftet over investorfradraget</w:t>
      </w:r>
    </w:p>
    <w:p w14:paraId="3A438DEE" w14:textId="7C0CD67B" w:rsidR="00403F57" w:rsidRDefault="00403F57" w:rsidP="00403F57">
      <w:pPr>
        <w:rPr>
          <w:iCs/>
        </w:rPr>
      </w:pPr>
      <w:r>
        <w:rPr>
          <w:iCs/>
        </w:rPr>
        <w:t>Fastholdelse</w:t>
      </w:r>
      <w:r w:rsidRPr="00EC046C">
        <w:rPr>
          <w:iCs/>
        </w:rPr>
        <w:t xml:space="preserve"> af </w:t>
      </w:r>
      <w:r w:rsidRPr="000571E7">
        <w:rPr>
          <w:iCs/>
        </w:rPr>
        <w:t>loft over</w:t>
      </w:r>
      <w:r w:rsidRPr="00A2688B">
        <w:rPr>
          <w:iCs/>
        </w:rPr>
        <w:t xml:space="preserve"> invest</w:t>
      </w:r>
      <w:r>
        <w:rPr>
          <w:iCs/>
        </w:rPr>
        <w:t>o</w:t>
      </w:r>
      <w:r w:rsidRPr="00A2688B">
        <w:rPr>
          <w:iCs/>
        </w:rPr>
        <w:t>rfradraget</w:t>
      </w:r>
      <w:r w:rsidRPr="00EC046C">
        <w:rPr>
          <w:iCs/>
        </w:rPr>
        <w:t xml:space="preserve"> medfører </w:t>
      </w:r>
      <w:r>
        <w:rPr>
          <w:iCs/>
        </w:rPr>
        <w:t xml:space="preserve">ingen nye </w:t>
      </w:r>
      <w:r w:rsidRPr="00534D32">
        <w:rPr>
          <w:iCs/>
        </w:rPr>
        <w:t xml:space="preserve">administrative </w:t>
      </w:r>
      <w:r>
        <w:rPr>
          <w:iCs/>
        </w:rPr>
        <w:t xml:space="preserve">omkostninger for </w:t>
      </w:r>
      <w:r w:rsidRPr="00534D32">
        <w:rPr>
          <w:iCs/>
        </w:rPr>
        <w:t>erhvervslivet</w:t>
      </w:r>
      <w:r>
        <w:rPr>
          <w:iCs/>
        </w:rPr>
        <w:t xml:space="preserve">. </w:t>
      </w:r>
      <w:r w:rsidR="00053CD4">
        <w:rPr>
          <w:iCs/>
        </w:rPr>
        <w:t>S</w:t>
      </w:r>
      <w:r w:rsidRPr="00534D32">
        <w:rPr>
          <w:iCs/>
        </w:rPr>
        <w:t>må og mellemstore unoterede virksomheder</w:t>
      </w:r>
      <w:r w:rsidR="0038703E">
        <w:rPr>
          <w:iCs/>
        </w:rPr>
        <w:t>s</w:t>
      </w:r>
      <w:r w:rsidRPr="00534D32">
        <w:rPr>
          <w:iCs/>
        </w:rPr>
        <w:t xml:space="preserve"> </w:t>
      </w:r>
      <w:r>
        <w:rPr>
          <w:iCs/>
        </w:rPr>
        <w:t xml:space="preserve">mulighed for at tiltrække risikovillig kapital fra </w:t>
      </w:r>
      <w:r w:rsidRPr="00534D32">
        <w:rPr>
          <w:iCs/>
        </w:rPr>
        <w:t>uafhængige investorer</w:t>
      </w:r>
      <w:r>
        <w:rPr>
          <w:iCs/>
        </w:rPr>
        <w:t xml:space="preserve"> </w:t>
      </w:r>
      <w:r w:rsidRPr="00534D32">
        <w:rPr>
          <w:iCs/>
        </w:rPr>
        <w:t>(personer)</w:t>
      </w:r>
      <w:r w:rsidR="00053CD4">
        <w:rPr>
          <w:iCs/>
        </w:rPr>
        <w:t xml:space="preserve"> vil være uændret i forhold til eksisterende regler</w:t>
      </w:r>
      <w:r>
        <w:rPr>
          <w:iCs/>
        </w:rPr>
        <w:t>.</w:t>
      </w:r>
    </w:p>
    <w:p w14:paraId="3DED6FD5" w14:textId="77777777" w:rsidR="00403F57" w:rsidRPr="00E05198" w:rsidRDefault="00403F57" w:rsidP="00C762CA"/>
    <w:p w14:paraId="59D820C5" w14:textId="4607FB33" w:rsidR="007E42A5" w:rsidRPr="00815B3E" w:rsidRDefault="00264BFD" w:rsidP="007E42A5">
      <w:pPr>
        <w:pStyle w:val="Overskrift1"/>
        <w:rPr>
          <w:rFonts w:cs="Times New Roman"/>
          <w:bCs w:val="0"/>
          <w:iCs/>
          <w:color w:val="000000" w:themeColor="text1"/>
          <w:sz w:val="24"/>
          <w:szCs w:val="24"/>
        </w:rPr>
      </w:pPr>
      <w:bookmarkStart w:id="297" w:name="_Toc329931204"/>
      <w:bookmarkStart w:id="298" w:name="_Toc329931315"/>
      <w:bookmarkStart w:id="299" w:name="_Toc442277390"/>
      <w:bookmarkStart w:id="300" w:name="_Toc442281308"/>
      <w:bookmarkStart w:id="301" w:name="_Toc442281338"/>
      <w:bookmarkStart w:id="302" w:name="_Toc442777848"/>
      <w:bookmarkStart w:id="303" w:name="_Toc442787245"/>
      <w:bookmarkStart w:id="304" w:name="_Toc442787537"/>
      <w:bookmarkStart w:id="305" w:name="_Toc442953243"/>
      <w:bookmarkStart w:id="306" w:name="_Toc443047627"/>
      <w:bookmarkStart w:id="307" w:name="_Toc444095987"/>
      <w:bookmarkStart w:id="308" w:name="_Toc444244513"/>
      <w:bookmarkStart w:id="309" w:name="_Toc498557228"/>
      <w:bookmarkStart w:id="310" w:name="_Toc498557298"/>
      <w:bookmarkStart w:id="311" w:name="_Toc498590032"/>
      <w:bookmarkStart w:id="312" w:name="_Toc498681515"/>
      <w:bookmarkStart w:id="313" w:name="_Toc499152787"/>
      <w:bookmarkStart w:id="314" w:name="_Toc499158746"/>
      <w:bookmarkStart w:id="315" w:name="_Toc499648619"/>
      <w:bookmarkStart w:id="316" w:name="_Toc499728112"/>
      <w:bookmarkStart w:id="317" w:name="_Toc499732960"/>
      <w:bookmarkStart w:id="318" w:name="_Toc499736991"/>
      <w:bookmarkStart w:id="319" w:name="_Toc499812931"/>
      <w:bookmarkStart w:id="320" w:name="_Toc499813734"/>
      <w:bookmarkStart w:id="321" w:name="_Toc500921481"/>
      <w:bookmarkStart w:id="322" w:name="_Toc500921507"/>
      <w:bookmarkStart w:id="323" w:name="_Toc500921618"/>
      <w:bookmarkStart w:id="324" w:name="_Toc501019228"/>
      <w:bookmarkStart w:id="325" w:name="_Toc504483873"/>
      <w:bookmarkStart w:id="326" w:name="_Toc505180551"/>
      <w:bookmarkStart w:id="327" w:name="_Toc505690204"/>
      <w:bookmarkStart w:id="328" w:name="_Toc505701757"/>
      <w:bookmarkStart w:id="329" w:name="_Toc505759549"/>
      <w:bookmarkStart w:id="330" w:name="_Toc505759566"/>
      <w:bookmarkStart w:id="331" w:name="_Toc505762659"/>
      <w:bookmarkStart w:id="332" w:name="_Toc505785999"/>
      <w:bookmarkStart w:id="333" w:name="_Toc506799584"/>
      <w:bookmarkStart w:id="334" w:name="_Toc506799601"/>
      <w:bookmarkStart w:id="335" w:name="_Toc506894560"/>
      <w:bookmarkStart w:id="336" w:name="_Toc507486297"/>
      <w:bookmarkStart w:id="337" w:name="_Toc515271232"/>
      <w:bookmarkStart w:id="338" w:name="_Toc515271555"/>
      <w:bookmarkStart w:id="339" w:name="_Toc515271583"/>
      <w:bookmarkStart w:id="340" w:name="_Toc515280491"/>
      <w:bookmarkStart w:id="341" w:name="_Toc515280642"/>
      <w:bookmarkStart w:id="342" w:name="_Toc515352794"/>
      <w:bookmarkStart w:id="343" w:name="_Toc515540867"/>
      <w:bookmarkStart w:id="344" w:name="_Toc515543707"/>
      <w:bookmarkStart w:id="345" w:name="_Toc515543892"/>
      <w:bookmarkStart w:id="346" w:name="_Toc515551693"/>
      <w:bookmarkStart w:id="347" w:name="_Toc515627635"/>
      <w:bookmarkStart w:id="348" w:name="_Toc516039945"/>
      <w:bookmarkStart w:id="349" w:name="_Toc516155368"/>
      <w:bookmarkStart w:id="350" w:name="_Toc516490269"/>
      <w:bookmarkStart w:id="351" w:name="_Toc518037951"/>
      <w:bookmarkStart w:id="352" w:name="_Toc524599603"/>
      <w:bookmarkStart w:id="353" w:name="_Toc526154936"/>
      <w:bookmarkStart w:id="354" w:name="_Toc526155482"/>
      <w:bookmarkStart w:id="355" w:name="_Toc526155555"/>
      <w:bookmarkStart w:id="356" w:name="_Toc526253992"/>
      <w:bookmarkStart w:id="357" w:name="_Toc526348417"/>
      <w:bookmarkStart w:id="358" w:name="_Toc526374608"/>
      <w:bookmarkStart w:id="359" w:name="_Toc526374624"/>
      <w:bookmarkStart w:id="360" w:name="_Toc526406487"/>
      <w:bookmarkStart w:id="361" w:name="_Toc526409513"/>
      <w:bookmarkStart w:id="362" w:name="_Toc526491412"/>
      <w:bookmarkStart w:id="363" w:name="_Toc526505524"/>
      <w:bookmarkStart w:id="364" w:name="_Toc52675661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Fonts w:cs="Times New Roman"/>
          <w:bCs w:val="0"/>
          <w:iCs/>
          <w:color w:val="000000" w:themeColor="text1"/>
          <w:sz w:val="24"/>
          <w:szCs w:val="24"/>
        </w:rPr>
        <w:t>5</w:t>
      </w:r>
      <w:r w:rsidR="007E42A5" w:rsidRPr="00815B3E">
        <w:rPr>
          <w:rFonts w:cs="Times New Roman"/>
          <w:bCs w:val="0"/>
          <w:iCs/>
          <w:color w:val="000000" w:themeColor="text1"/>
          <w:sz w:val="24"/>
          <w:szCs w:val="24"/>
        </w:rPr>
        <w:t>. Administrative konsekvenser for borgerne</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536E107D" w14:textId="31BBFC3A" w:rsidR="007E42A5" w:rsidRPr="00815B3E" w:rsidRDefault="00852D06" w:rsidP="00852D06">
      <w:pPr>
        <w:spacing w:after="240"/>
        <w:rPr>
          <w:rFonts w:cs="Times New Roman"/>
          <w:color w:val="000000" w:themeColor="text1"/>
          <w:szCs w:val="24"/>
        </w:rPr>
      </w:pPr>
      <w:r w:rsidRPr="00815B3E">
        <w:rPr>
          <w:rFonts w:cs="Times New Roman"/>
          <w:color w:val="000000" w:themeColor="text1"/>
          <w:szCs w:val="24"/>
        </w:rPr>
        <w:t>Lovforslaget har ingen administrative konsekvenser for borgerne.</w:t>
      </w:r>
    </w:p>
    <w:p w14:paraId="407B6CF8" w14:textId="3AB125B7" w:rsidR="007E42A5" w:rsidRPr="00815B3E" w:rsidRDefault="00264BFD" w:rsidP="007E42A5">
      <w:pPr>
        <w:pStyle w:val="Overskrift1"/>
        <w:rPr>
          <w:rFonts w:cs="Times New Roman"/>
          <w:bCs w:val="0"/>
          <w:iCs/>
          <w:color w:val="000000" w:themeColor="text1"/>
          <w:sz w:val="24"/>
          <w:szCs w:val="24"/>
        </w:rPr>
      </w:pPr>
      <w:bookmarkStart w:id="365" w:name="_Toc329931205"/>
      <w:bookmarkStart w:id="366" w:name="_Toc329931316"/>
      <w:bookmarkStart w:id="367" w:name="_Toc442277391"/>
      <w:bookmarkStart w:id="368" w:name="_Toc442281309"/>
      <w:bookmarkStart w:id="369" w:name="_Toc442281339"/>
      <w:bookmarkStart w:id="370" w:name="_Toc442777849"/>
      <w:bookmarkStart w:id="371" w:name="_Toc442787246"/>
      <w:bookmarkStart w:id="372" w:name="_Toc442787538"/>
      <w:bookmarkStart w:id="373" w:name="_Toc442953244"/>
      <w:bookmarkStart w:id="374" w:name="_Toc443047628"/>
      <w:bookmarkStart w:id="375" w:name="_Toc444095988"/>
      <w:bookmarkStart w:id="376" w:name="_Toc444244514"/>
      <w:bookmarkStart w:id="377" w:name="_Toc498557229"/>
      <w:bookmarkStart w:id="378" w:name="_Toc498557299"/>
      <w:bookmarkStart w:id="379" w:name="_Toc498590033"/>
      <w:bookmarkStart w:id="380" w:name="_Toc498681516"/>
      <w:bookmarkStart w:id="381" w:name="_Toc499152788"/>
      <w:bookmarkStart w:id="382" w:name="_Toc499158747"/>
      <w:bookmarkStart w:id="383" w:name="_Toc499648620"/>
      <w:bookmarkStart w:id="384" w:name="_Toc499728113"/>
      <w:bookmarkStart w:id="385" w:name="_Toc499732961"/>
      <w:bookmarkStart w:id="386" w:name="_Toc499736992"/>
      <w:bookmarkStart w:id="387" w:name="_Toc499812932"/>
      <w:bookmarkStart w:id="388" w:name="_Toc499813735"/>
      <w:bookmarkStart w:id="389" w:name="_Toc500921482"/>
      <w:bookmarkStart w:id="390" w:name="_Toc500921508"/>
      <w:bookmarkStart w:id="391" w:name="_Toc500921619"/>
      <w:bookmarkStart w:id="392" w:name="_Toc501019229"/>
      <w:bookmarkStart w:id="393" w:name="_Toc504483874"/>
      <w:bookmarkStart w:id="394" w:name="_Toc505180552"/>
      <w:bookmarkStart w:id="395" w:name="_Toc505690205"/>
      <w:bookmarkStart w:id="396" w:name="_Toc505701758"/>
      <w:bookmarkStart w:id="397" w:name="_Toc505759550"/>
      <w:bookmarkStart w:id="398" w:name="_Toc505759567"/>
      <w:bookmarkStart w:id="399" w:name="_Toc505762660"/>
      <w:bookmarkStart w:id="400" w:name="_Toc505786000"/>
      <w:bookmarkStart w:id="401" w:name="_Toc506799585"/>
      <w:bookmarkStart w:id="402" w:name="_Toc506799602"/>
      <w:bookmarkStart w:id="403" w:name="_Toc506894561"/>
      <w:bookmarkStart w:id="404" w:name="_Toc507486298"/>
      <w:bookmarkStart w:id="405" w:name="_Toc515271233"/>
      <w:bookmarkStart w:id="406" w:name="_Toc515271556"/>
      <w:bookmarkStart w:id="407" w:name="_Toc515271584"/>
      <w:bookmarkStart w:id="408" w:name="_Toc515280492"/>
      <w:bookmarkStart w:id="409" w:name="_Toc515280643"/>
      <w:bookmarkStart w:id="410" w:name="_Toc515352795"/>
      <w:bookmarkStart w:id="411" w:name="_Toc515540868"/>
      <w:bookmarkStart w:id="412" w:name="_Toc515543708"/>
      <w:bookmarkStart w:id="413" w:name="_Toc515543893"/>
      <w:bookmarkStart w:id="414" w:name="_Toc515551694"/>
      <w:bookmarkStart w:id="415" w:name="_Toc515627636"/>
      <w:bookmarkStart w:id="416" w:name="_Toc516039946"/>
      <w:bookmarkStart w:id="417" w:name="_Toc516155369"/>
      <w:bookmarkStart w:id="418" w:name="_Toc516490270"/>
      <w:bookmarkStart w:id="419" w:name="_Toc518037952"/>
      <w:bookmarkStart w:id="420" w:name="_Toc524599604"/>
      <w:bookmarkStart w:id="421" w:name="_Toc526154937"/>
      <w:bookmarkStart w:id="422" w:name="_Toc526155483"/>
      <w:bookmarkStart w:id="423" w:name="_Toc526155556"/>
      <w:bookmarkStart w:id="424" w:name="_Toc526253993"/>
      <w:bookmarkStart w:id="425" w:name="_Toc526348418"/>
      <w:bookmarkStart w:id="426" w:name="_Toc526374609"/>
      <w:bookmarkStart w:id="427" w:name="_Toc526374625"/>
      <w:bookmarkStart w:id="428" w:name="_Toc526406488"/>
      <w:bookmarkStart w:id="429" w:name="_Toc526409514"/>
      <w:bookmarkStart w:id="430" w:name="_Toc526491413"/>
      <w:bookmarkStart w:id="431" w:name="_Toc526505525"/>
      <w:bookmarkStart w:id="432" w:name="_Toc526756617"/>
      <w:r>
        <w:rPr>
          <w:rFonts w:cs="Times New Roman"/>
          <w:bCs w:val="0"/>
          <w:iCs/>
          <w:color w:val="000000" w:themeColor="text1"/>
          <w:sz w:val="24"/>
          <w:szCs w:val="24"/>
        </w:rPr>
        <w:t>6</w:t>
      </w:r>
      <w:r w:rsidR="007E42A5" w:rsidRPr="00815B3E">
        <w:rPr>
          <w:rFonts w:cs="Times New Roman"/>
          <w:bCs w:val="0"/>
          <w:iCs/>
          <w:color w:val="000000" w:themeColor="text1"/>
          <w:sz w:val="24"/>
          <w:szCs w:val="24"/>
        </w:rPr>
        <w:t>. </w:t>
      </w:r>
      <w:r w:rsidR="00680E9E" w:rsidRPr="00815B3E">
        <w:rPr>
          <w:rFonts w:cs="Times New Roman"/>
          <w:bCs w:val="0"/>
          <w:iCs/>
          <w:color w:val="000000" w:themeColor="text1"/>
          <w:sz w:val="24"/>
          <w:szCs w:val="24"/>
        </w:rPr>
        <w:t>Klima</w:t>
      </w:r>
      <w:r w:rsidR="007E42A5" w:rsidRPr="00815B3E">
        <w:rPr>
          <w:rFonts w:cs="Times New Roman"/>
          <w:bCs w:val="0"/>
          <w:iCs/>
          <w:color w:val="000000" w:themeColor="text1"/>
          <w:sz w:val="24"/>
          <w:szCs w:val="24"/>
        </w:rPr>
        <w:t>mæssige konsekvenser</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5A102C9A" w14:textId="35E728E6" w:rsidR="007E42A5" w:rsidRPr="00815B3E" w:rsidRDefault="00852D06" w:rsidP="007E42A5">
      <w:pPr>
        <w:spacing w:after="240"/>
        <w:rPr>
          <w:rFonts w:eastAsia="Calibri" w:cs="Times New Roman"/>
          <w:color w:val="000000" w:themeColor="text1"/>
          <w:szCs w:val="24"/>
        </w:rPr>
      </w:pPr>
      <w:r w:rsidRPr="00815B3E">
        <w:rPr>
          <w:rFonts w:eastAsia="Calibri" w:cs="Times New Roman"/>
          <w:color w:val="000000" w:themeColor="text1"/>
          <w:szCs w:val="24"/>
        </w:rPr>
        <w:t>Lovforslaget har ingen klimamæssige konsekvenser.</w:t>
      </w:r>
    </w:p>
    <w:p w14:paraId="47247ABC" w14:textId="332324AE" w:rsidR="006E3FE2" w:rsidRPr="00815B3E" w:rsidRDefault="00264BFD" w:rsidP="00852D06">
      <w:pPr>
        <w:pStyle w:val="Overskrift1"/>
        <w:rPr>
          <w:rFonts w:cs="Times New Roman"/>
          <w:bCs w:val="0"/>
          <w:iCs/>
          <w:color w:val="000000" w:themeColor="text1"/>
          <w:sz w:val="24"/>
          <w:szCs w:val="24"/>
        </w:rPr>
      </w:pPr>
      <w:bookmarkStart w:id="433" w:name="_Toc329931206"/>
      <w:bookmarkStart w:id="434" w:name="_Toc329931317"/>
      <w:bookmarkStart w:id="435" w:name="_Toc442277392"/>
      <w:bookmarkStart w:id="436" w:name="_Toc442281310"/>
      <w:bookmarkStart w:id="437" w:name="_Toc442281340"/>
      <w:bookmarkStart w:id="438" w:name="_Toc442777850"/>
      <w:bookmarkStart w:id="439" w:name="_Toc442787247"/>
      <w:bookmarkStart w:id="440" w:name="_Toc442787539"/>
      <w:bookmarkStart w:id="441" w:name="_Toc442953245"/>
      <w:bookmarkStart w:id="442" w:name="_Toc443047629"/>
      <w:bookmarkStart w:id="443" w:name="_Toc444095989"/>
      <w:bookmarkStart w:id="444" w:name="_Toc444244515"/>
      <w:bookmarkStart w:id="445" w:name="_Toc498557230"/>
      <w:bookmarkStart w:id="446" w:name="_Toc498557300"/>
      <w:bookmarkStart w:id="447" w:name="_Toc498590034"/>
      <w:bookmarkStart w:id="448" w:name="_Toc498681517"/>
      <w:bookmarkStart w:id="449" w:name="_Toc499152789"/>
      <w:bookmarkStart w:id="450" w:name="_Toc499158748"/>
      <w:bookmarkStart w:id="451" w:name="_Toc499648621"/>
      <w:bookmarkStart w:id="452" w:name="_Toc499728114"/>
      <w:bookmarkStart w:id="453" w:name="_Toc499732962"/>
      <w:bookmarkStart w:id="454" w:name="_Toc499736993"/>
      <w:bookmarkStart w:id="455" w:name="_Toc499812933"/>
      <w:bookmarkStart w:id="456" w:name="_Toc499813736"/>
      <w:bookmarkStart w:id="457" w:name="_Toc500921483"/>
      <w:bookmarkStart w:id="458" w:name="_Toc500921509"/>
      <w:bookmarkStart w:id="459" w:name="_Toc500921620"/>
      <w:bookmarkStart w:id="460" w:name="_Toc501019230"/>
      <w:bookmarkStart w:id="461" w:name="_Toc504483875"/>
      <w:bookmarkStart w:id="462" w:name="_Toc505180553"/>
      <w:bookmarkStart w:id="463" w:name="_Toc505690206"/>
      <w:bookmarkStart w:id="464" w:name="_Toc505701759"/>
      <w:bookmarkStart w:id="465" w:name="_Toc505759551"/>
      <w:bookmarkStart w:id="466" w:name="_Toc505759568"/>
      <w:bookmarkStart w:id="467" w:name="_Toc505762661"/>
      <w:bookmarkStart w:id="468" w:name="_Toc505786001"/>
      <w:bookmarkStart w:id="469" w:name="_Toc506799586"/>
      <w:bookmarkStart w:id="470" w:name="_Toc506799603"/>
      <w:bookmarkStart w:id="471" w:name="_Toc506894562"/>
      <w:bookmarkStart w:id="472" w:name="_Toc507486299"/>
      <w:bookmarkStart w:id="473" w:name="_Toc515271234"/>
      <w:bookmarkStart w:id="474" w:name="_Toc515271557"/>
      <w:bookmarkStart w:id="475" w:name="_Toc515271585"/>
      <w:bookmarkStart w:id="476" w:name="_Toc515280493"/>
      <w:bookmarkStart w:id="477" w:name="_Toc515280644"/>
      <w:bookmarkStart w:id="478" w:name="_Toc515352796"/>
      <w:bookmarkStart w:id="479" w:name="_Toc515540869"/>
      <w:bookmarkStart w:id="480" w:name="_Toc515543709"/>
      <w:bookmarkStart w:id="481" w:name="_Toc515543894"/>
      <w:bookmarkStart w:id="482" w:name="_Toc515551695"/>
      <w:bookmarkStart w:id="483" w:name="_Toc515627637"/>
      <w:bookmarkStart w:id="484" w:name="_Toc516039947"/>
      <w:bookmarkStart w:id="485" w:name="_Toc516155370"/>
      <w:bookmarkStart w:id="486" w:name="_Toc516490271"/>
      <w:bookmarkStart w:id="487" w:name="_Toc518037953"/>
      <w:bookmarkStart w:id="488" w:name="_Toc524599605"/>
      <w:bookmarkStart w:id="489" w:name="_Toc526154938"/>
      <w:bookmarkStart w:id="490" w:name="_Toc526155484"/>
      <w:bookmarkStart w:id="491" w:name="_Toc526155557"/>
      <w:bookmarkStart w:id="492" w:name="_Toc526253994"/>
      <w:bookmarkStart w:id="493" w:name="_Toc526348419"/>
      <w:bookmarkStart w:id="494" w:name="_Toc526374610"/>
      <w:bookmarkStart w:id="495" w:name="_Toc526374626"/>
      <w:bookmarkStart w:id="496" w:name="_Toc526406489"/>
      <w:bookmarkStart w:id="497" w:name="_Toc526409515"/>
      <w:bookmarkStart w:id="498" w:name="_Toc526491414"/>
      <w:bookmarkStart w:id="499" w:name="_Toc526505526"/>
      <w:bookmarkStart w:id="500" w:name="_Toc526756618"/>
      <w:r>
        <w:rPr>
          <w:rFonts w:cs="Times New Roman"/>
          <w:bCs w:val="0"/>
          <w:iCs/>
          <w:color w:val="000000" w:themeColor="text1"/>
          <w:sz w:val="24"/>
          <w:szCs w:val="24"/>
        </w:rPr>
        <w:t>7</w:t>
      </w:r>
      <w:r w:rsidR="006E3FE2" w:rsidRPr="00815B3E">
        <w:rPr>
          <w:rFonts w:cs="Times New Roman"/>
          <w:bCs w:val="0"/>
          <w:iCs/>
          <w:color w:val="000000" w:themeColor="text1"/>
          <w:sz w:val="24"/>
          <w:szCs w:val="24"/>
        </w:rPr>
        <w:t>. Miljø- og naturmæssige konsekvenser</w:t>
      </w:r>
    </w:p>
    <w:p w14:paraId="58801209" w14:textId="04AED54F" w:rsidR="00852D06" w:rsidRPr="00815B3E" w:rsidRDefault="00852D06" w:rsidP="00852D06">
      <w:pPr>
        <w:rPr>
          <w:color w:val="000000" w:themeColor="text1"/>
        </w:rPr>
      </w:pPr>
      <w:r w:rsidRPr="00815B3E">
        <w:rPr>
          <w:color w:val="000000" w:themeColor="text1"/>
        </w:rPr>
        <w:t>Lovforslaget har ingen miljø- og naturmæssige konsekvenser.</w:t>
      </w:r>
    </w:p>
    <w:p w14:paraId="5D855EF4" w14:textId="77777777" w:rsidR="006E3FE2" w:rsidRPr="00815B3E" w:rsidRDefault="006E3FE2" w:rsidP="006E3FE2">
      <w:pPr>
        <w:rPr>
          <w:color w:val="000000" w:themeColor="text1"/>
        </w:rPr>
      </w:pPr>
    </w:p>
    <w:p w14:paraId="60989C9E" w14:textId="6642E314" w:rsidR="007E42A5" w:rsidRPr="00815B3E" w:rsidRDefault="00264BFD" w:rsidP="007E42A5">
      <w:pPr>
        <w:pStyle w:val="Overskrift1"/>
        <w:rPr>
          <w:rFonts w:cs="Times New Roman"/>
          <w:bCs w:val="0"/>
          <w:iCs/>
          <w:color w:val="000000" w:themeColor="text1"/>
          <w:sz w:val="24"/>
          <w:szCs w:val="24"/>
        </w:rPr>
      </w:pPr>
      <w:r>
        <w:rPr>
          <w:rFonts w:cs="Times New Roman"/>
          <w:bCs w:val="0"/>
          <w:iCs/>
          <w:color w:val="000000" w:themeColor="text1"/>
          <w:sz w:val="24"/>
          <w:szCs w:val="24"/>
        </w:rPr>
        <w:t>8</w:t>
      </w:r>
      <w:r w:rsidR="007E42A5" w:rsidRPr="00815B3E">
        <w:rPr>
          <w:rFonts w:cs="Times New Roman"/>
          <w:bCs w:val="0"/>
          <w:iCs/>
          <w:color w:val="000000" w:themeColor="text1"/>
          <w:sz w:val="24"/>
          <w:szCs w:val="24"/>
        </w:rPr>
        <w:t>. Forholdet til EU-retten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14:paraId="53B9CA9D" w14:textId="267B0F3A" w:rsidR="003B2DE0" w:rsidRPr="00815B3E" w:rsidRDefault="003B2DE0" w:rsidP="003B2DE0">
      <w:pPr>
        <w:rPr>
          <w:iCs/>
          <w:color w:val="000000" w:themeColor="text1"/>
        </w:rPr>
      </w:pPr>
      <w:bookmarkStart w:id="501" w:name="_Toc243705913"/>
      <w:bookmarkStart w:id="502" w:name="_Toc329931207"/>
      <w:bookmarkStart w:id="503" w:name="_Toc329931318"/>
      <w:bookmarkStart w:id="504" w:name="_Toc442277393"/>
      <w:bookmarkStart w:id="505" w:name="_Toc442281311"/>
      <w:bookmarkStart w:id="506" w:name="_Toc442281341"/>
      <w:bookmarkStart w:id="507" w:name="_Toc442777851"/>
      <w:bookmarkStart w:id="508" w:name="_Toc442787248"/>
      <w:bookmarkStart w:id="509" w:name="_Toc442787540"/>
      <w:bookmarkStart w:id="510" w:name="_Toc442953246"/>
      <w:bookmarkStart w:id="511" w:name="_Toc443047630"/>
      <w:bookmarkStart w:id="512" w:name="_Toc444095990"/>
      <w:bookmarkStart w:id="513" w:name="_Toc444244516"/>
      <w:bookmarkStart w:id="514" w:name="_Toc498557231"/>
      <w:bookmarkStart w:id="515" w:name="_Toc498557301"/>
      <w:bookmarkStart w:id="516" w:name="_Toc498590035"/>
      <w:bookmarkStart w:id="517" w:name="_Toc498681518"/>
      <w:bookmarkStart w:id="518" w:name="_Toc499152790"/>
      <w:bookmarkStart w:id="519" w:name="_Toc499158749"/>
      <w:bookmarkStart w:id="520" w:name="_Toc499648622"/>
      <w:bookmarkStart w:id="521" w:name="_Toc499728115"/>
      <w:bookmarkStart w:id="522" w:name="_Toc499732963"/>
      <w:bookmarkStart w:id="523" w:name="_Toc499736994"/>
      <w:bookmarkStart w:id="524" w:name="_Toc499812934"/>
      <w:bookmarkStart w:id="525" w:name="_Toc499813737"/>
      <w:bookmarkStart w:id="526" w:name="_Toc500921484"/>
      <w:bookmarkStart w:id="527" w:name="_Toc500921510"/>
      <w:bookmarkStart w:id="528" w:name="_Toc500921621"/>
      <w:bookmarkStart w:id="529" w:name="_Toc501019231"/>
      <w:bookmarkStart w:id="530" w:name="_Toc504483876"/>
      <w:bookmarkStart w:id="531" w:name="_Toc505180554"/>
      <w:bookmarkStart w:id="532" w:name="_Toc505690207"/>
      <w:bookmarkStart w:id="533" w:name="_Toc505701760"/>
      <w:bookmarkStart w:id="534" w:name="_Toc505759552"/>
      <w:bookmarkStart w:id="535" w:name="_Toc505759569"/>
      <w:bookmarkStart w:id="536" w:name="_Toc505762662"/>
      <w:bookmarkStart w:id="537" w:name="_Toc505786002"/>
      <w:bookmarkStart w:id="538" w:name="_Toc506799587"/>
      <w:bookmarkStart w:id="539" w:name="_Toc506799604"/>
      <w:bookmarkStart w:id="540" w:name="_Toc506894563"/>
      <w:bookmarkStart w:id="541" w:name="_Toc507486300"/>
      <w:bookmarkStart w:id="542" w:name="_Toc515271235"/>
      <w:bookmarkStart w:id="543" w:name="_Toc515271558"/>
      <w:bookmarkStart w:id="544" w:name="_Toc515271586"/>
      <w:bookmarkStart w:id="545" w:name="_Toc515280494"/>
      <w:bookmarkStart w:id="546" w:name="_Toc515280645"/>
      <w:bookmarkStart w:id="547" w:name="_Toc515352797"/>
      <w:bookmarkStart w:id="548" w:name="_Toc515540870"/>
      <w:bookmarkStart w:id="549" w:name="_Toc515543710"/>
      <w:bookmarkStart w:id="550" w:name="_Toc515543895"/>
      <w:bookmarkStart w:id="551" w:name="_Toc515551696"/>
      <w:bookmarkStart w:id="552" w:name="_Toc515627638"/>
      <w:bookmarkStart w:id="553" w:name="_Toc516039948"/>
      <w:bookmarkStart w:id="554" w:name="_Toc516155371"/>
      <w:bookmarkStart w:id="555" w:name="_Toc516490272"/>
      <w:bookmarkStart w:id="556" w:name="_Toc518037954"/>
      <w:bookmarkStart w:id="557" w:name="_Toc524599606"/>
      <w:bookmarkStart w:id="558" w:name="_Toc526154939"/>
      <w:bookmarkStart w:id="559" w:name="_Toc526155485"/>
      <w:bookmarkStart w:id="560" w:name="_Toc526155558"/>
      <w:bookmarkStart w:id="561" w:name="_Toc526253995"/>
      <w:bookmarkStart w:id="562" w:name="_Toc526348420"/>
      <w:bookmarkStart w:id="563" w:name="_Toc526374611"/>
      <w:bookmarkStart w:id="564" w:name="_Toc526374627"/>
      <w:bookmarkStart w:id="565" w:name="_Toc526406490"/>
      <w:bookmarkStart w:id="566" w:name="_Toc526409516"/>
      <w:bookmarkStart w:id="567" w:name="_Toc526491415"/>
      <w:bookmarkStart w:id="568" w:name="_Toc526505527"/>
      <w:bookmarkStart w:id="569" w:name="_Toc526756619"/>
      <w:r w:rsidRPr="00815B3E">
        <w:rPr>
          <w:iCs/>
          <w:color w:val="000000" w:themeColor="text1"/>
        </w:rPr>
        <w:t xml:space="preserve">Lovforslaget om indførelse af lagerbeskatning af selskabers ejendomsavancer </w:t>
      </w:r>
      <w:r w:rsidR="0095271F" w:rsidRPr="0095271F">
        <w:rPr>
          <w:iCs/>
          <w:color w:val="000000" w:themeColor="text1"/>
        </w:rPr>
        <w:t xml:space="preserve">indeholder ingen </w:t>
      </w:r>
      <w:proofErr w:type="spellStart"/>
      <w:r w:rsidR="0095271F" w:rsidRPr="0095271F">
        <w:rPr>
          <w:iCs/>
          <w:color w:val="000000" w:themeColor="text1"/>
        </w:rPr>
        <w:t>EU-retlige</w:t>
      </w:r>
      <w:proofErr w:type="spellEnd"/>
      <w:r w:rsidR="0095271F" w:rsidRPr="0095271F">
        <w:rPr>
          <w:iCs/>
          <w:color w:val="000000" w:themeColor="text1"/>
        </w:rPr>
        <w:t xml:space="preserve"> aspekter</w:t>
      </w:r>
      <w:r w:rsidR="00305D92" w:rsidRPr="00815B3E">
        <w:rPr>
          <w:iCs/>
          <w:color w:val="000000" w:themeColor="text1"/>
        </w:rPr>
        <w:t>.</w:t>
      </w:r>
    </w:p>
    <w:p w14:paraId="7EC8AD74" w14:textId="77777777" w:rsidR="003B2DE0" w:rsidRPr="00815B3E" w:rsidRDefault="003B2DE0" w:rsidP="003B2DE0">
      <w:pPr>
        <w:rPr>
          <w:iCs/>
          <w:color w:val="000000" w:themeColor="text1"/>
        </w:rPr>
      </w:pPr>
    </w:p>
    <w:p w14:paraId="1C6F9189" w14:textId="308D803C" w:rsidR="00201784" w:rsidRPr="00815B3E" w:rsidRDefault="003B2DE0" w:rsidP="003B2DE0">
      <w:pPr>
        <w:rPr>
          <w:iCs/>
          <w:color w:val="000000" w:themeColor="text1"/>
        </w:rPr>
      </w:pPr>
      <w:r w:rsidRPr="00815B3E">
        <w:rPr>
          <w:iCs/>
          <w:color w:val="000000" w:themeColor="text1"/>
        </w:rPr>
        <w:t>For så vidt angår investorfradraget</w:t>
      </w:r>
      <w:r w:rsidR="00EB690C">
        <w:rPr>
          <w:iCs/>
          <w:color w:val="000000" w:themeColor="text1"/>
        </w:rPr>
        <w:t>,</w:t>
      </w:r>
      <w:r w:rsidRPr="00815B3E">
        <w:rPr>
          <w:color w:val="000000" w:themeColor="text1"/>
        </w:rPr>
        <w:t xml:space="preserve"> </w:t>
      </w:r>
      <w:r w:rsidRPr="00815B3E">
        <w:rPr>
          <w:iCs/>
          <w:color w:val="000000" w:themeColor="text1"/>
        </w:rPr>
        <w:t xml:space="preserve">udgør ordningen statsstøtte til de små og mellemstore virksomheder, der investeres i. Investorfradragsloven er udarbejdet i overensstemmelse med Europa-Kommissionens forordning nr. 651/2014 </w:t>
      </w:r>
      <w:r w:rsidR="00201784" w:rsidRPr="00815B3E">
        <w:rPr>
          <w:iCs/>
          <w:color w:val="000000" w:themeColor="text1"/>
        </w:rPr>
        <w:t xml:space="preserve">af </w:t>
      </w:r>
      <w:r w:rsidRPr="00815B3E">
        <w:rPr>
          <w:iCs/>
          <w:color w:val="000000" w:themeColor="text1"/>
        </w:rPr>
        <w:t xml:space="preserve">27. juni 2014 om visse kategorier af støttes forenelighed med det indre marked i henhold til traktatens artikel 107 og 108 (EU’s gruppefritagelsesordning), herunder forordningens artikel 21 om risikofinansieringsstøtte til små og mellemstore virksomheder. Ordninger, der overholder betingelserne i forordningen, kan sættes i kraft uden forudgående anmeldelse til og godkendelse af Kommissionen. </w:t>
      </w:r>
    </w:p>
    <w:p w14:paraId="4933E0A8" w14:textId="77777777" w:rsidR="00201784" w:rsidRPr="00815B3E" w:rsidRDefault="00201784" w:rsidP="003B2DE0">
      <w:pPr>
        <w:rPr>
          <w:iCs/>
          <w:color w:val="000000" w:themeColor="text1"/>
        </w:rPr>
      </w:pPr>
    </w:p>
    <w:p w14:paraId="4F53B87E" w14:textId="17F50B26" w:rsidR="003B2DE0" w:rsidRPr="00815B3E" w:rsidRDefault="003B2DE0" w:rsidP="003B2DE0">
      <w:pPr>
        <w:rPr>
          <w:iCs/>
          <w:color w:val="000000" w:themeColor="text1"/>
        </w:rPr>
      </w:pPr>
      <w:r w:rsidRPr="00815B3E">
        <w:rPr>
          <w:iCs/>
          <w:color w:val="000000" w:themeColor="text1"/>
        </w:rPr>
        <w:t xml:space="preserve">Den foreslåede </w:t>
      </w:r>
      <w:r w:rsidR="00201784" w:rsidRPr="00815B3E">
        <w:rPr>
          <w:iCs/>
          <w:color w:val="000000" w:themeColor="text1"/>
        </w:rPr>
        <w:t>fastholdelse af det</w:t>
      </w:r>
      <w:r w:rsidRPr="00815B3E">
        <w:rPr>
          <w:iCs/>
          <w:color w:val="000000" w:themeColor="text1"/>
        </w:rPr>
        <w:t xml:space="preserve"> nuværende loft over investorfradraget ændrer ikke på den nuværende ordning, og betingelserne i forordningen er fortsat overholdt. </w:t>
      </w:r>
    </w:p>
    <w:p w14:paraId="149A05A7" w14:textId="77777777" w:rsidR="003B2DE0" w:rsidRPr="00815B3E" w:rsidRDefault="003B2DE0" w:rsidP="00813769"/>
    <w:p w14:paraId="4B9CCEBC" w14:textId="3F7D5161" w:rsidR="007E42A5" w:rsidRPr="00815B3E" w:rsidRDefault="00264BFD" w:rsidP="007E42A5">
      <w:pPr>
        <w:pStyle w:val="Overskrift1"/>
        <w:rPr>
          <w:rFonts w:cs="Times New Roman"/>
          <w:bCs w:val="0"/>
          <w:iCs/>
          <w:color w:val="000000" w:themeColor="text1"/>
          <w:sz w:val="24"/>
          <w:szCs w:val="24"/>
        </w:rPr>
      </w:pPr>
      <w:r>
        <w:rPr>
          <w:rFonts w:cs="Times New Roman"/>
          <w:bCs w:val="0"/>
          <w:iCs/>
          <w:color w:val="000000" w:themeColor="text1"/>
          <w:sz w:val="24"/>
          <w:szCs w:val="24"/>
        </w:rPr>
        <w:t>9</w:t>
      </w:r>
      <w:r w:rsidR="007E42A5" w:rsidRPr="00815B3E">
        <w:rPr>
          <w:rFonts w:cs="Times New Roman"/>
          <w:bCs w:val="0"/>
          <w:iCs/>
          <w:color w:val="000000" w:themeColor="text1"/>
          <w:sz w:val="24"/>
          <w:szCs w:val="24"/>
        </w:rPr>
        <w:t>. Hørte myndigheder og organisationer m</w:t>
      </w:r>
      <w:r w:rsidR="00A73835" w:rsidRPr="00815B3E">
        <w:rPr>
          <w:rFonts w:cs="Times New Roman"/>
          <w:bCs w:val="0"/>
          <w:iCs/>
          <w:color w:val="000000" w:themeColor="text1"/>
          <w:sz w:val="24"/>
          <w:szCs w:val="24"/>
        </w:rPr>
        <w:t>.</w:t>
      </w:r>
      <w:r w:rsidR="007E42A5" w:rsidRPr="00815B3E">
        <w:rPr>
          <w:rFonts w:cs="Times New Roman"/>
          <w:bCs w:val="0"/>
          <w:iCs/>
          <w:color w:val="000000" w:themeColor="text1"/>
          <w:sz w:val="24"/>
          <w:szCs w:val="24"/>
        </w:rPr>
        <w:t>v.</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14:paraId="59B3E6D9" w14:textId="09118CED" w:rsidR="007E42A5" w:rsidRPr="00815B3E" w:rsidRDefault="007E42A5" w:rsidP="003A26A8">
      <w:pPr>
        <w:rPr>
          <w:color w:val="000000" w:themeColor="text1"/>
        </w:rPr>
      </w:pPr>
      <w:r w:rsidRPr="00815B3E">
        <w:rPr>
          <w:color w:val="000000" w:themeColor="text1"/>
        </w:rPr>
        <w:t xml:space="preserve">Et udkast til lovforslag har i perioden fra den </w:t>
      </w:r>
      <w:r w:rsidR="006C374B">
        <w:rPr>
          <w:color w:val="000000" w:themeColor="text1"/>
        </w:rPr>
        <w:t>1</w:t>
      </w:r>
      <w:r w:rsidR="006F4D48">
        <w:rPr>
          <w:color w:val="000000" w:themeColor="text1"/>
        </w:rPr>
        <w:t>. ju</w:t>
      </w:r>
      <w:r w:rsidR="006C374B">
        <w:rPr>
          <w:color w:val="000000" w:themeColor="text1"/>
        </w:rPr>
        <w:t>li</w:t>
      </w:r>
      <w:r w:rsidRPr="00815B3E">
        <w:rPr>
          <w:color w:val="000000" w:themeColor="text1"/>
        </w:rPr>
        <w:t xml:space="preserve"> </w:t>
      </w:r>
      <w:r w:rsidR="00E637C9" w:rsidRPr="00815B3E">
        <w:rPr>
          <w:color w:val="000000" w:themeColor="text1"/>
        </w:rPr>
        <w:t>202</w:t>
      </w:r>
      <w:r w:rsidR="006F4D48">
        <w:rPr>
          <w:color w:val="000000" w:themeColor="text1"/>
        </w:rPr>
        <w:t>2</w:t>
      </w:r>
      <w:r w:rsidR="00E637C9" w:rsidRPr="00815B3E">
        <w:rPr>
          <w:color w:val="000000" w:themeColor="text1"/>
        </w:rPr>
        <w:t xml:space="preserve"> </w:t>
      </w:r>
      <w:r w:rsidRPr="00815B3E">
        <w:rPr>
          <w:color w:val="000000" w:themeColor="text1"/>
        </w:rPr>
        <w:t xml:space="preserve">til den </w:t>
      </w:r>
      <w:r w:rsidR="006F4D48">
        <w:rPr>
          <w:color w:val="000000" w:themeColor="text1"/>
        </w:rPr>
        <w:t>18. august</w:t>
      </w:r>
      <w:r w:rsidRPr="00815B3E">
        <w:rPr>
          <w:color w:val="000000" w:themeColor="text1"/>
        </w:rPr>
        <w:t xml:space="preserve"> </w:t>
      </w:r>
      <w:r w:rsidR="00E637C9" w:rsidRPr="00815B3E">
        <w:rPr>
          <w:color w:val="000000" w:themeColor="text1"/>
        </w:rPr>
        <w:t>202</w:t>
      </w:r>
      <w:r w:rsidR="006F4D48">
        <w:rPr>
          <w:color w:val="000000" w:themeColor="text1"/>
        </w:rPr>
        <w:t>2</w:t>
      </w:r>
      <w:r w:rsidR="00E637C9" w:rsidRPr="00815B3E">
        <w:rPr>
          <w:color w:val="000000" w:themeColor="text1"/>
        </w:rPr>
        <w:t xml:space="preserve"> </w:t>
      </w:r>
      <w:r w:rsidRPr="00815B3E">
        <w:rPr>
          <w:color w:val="000000" w:themeColor="text1"/>
        </w:rPr>
        <w:t>været sendt i høring hos følgende myndigheder og organisationer m.v.:</w:t>
      </w:r>
    </w:p>
    <w:p w14:paraId="4FD6B640" w14:textId="78FF294C" w:rsidR="006F4D48" w:rsidRDefault="006F4D48" w:rsidP="006F4D48"/>
    <w:p w14:paraId="7559CB64" w14:textId="5C313121" w:rsidR="008C738F" w:rsidRPr="00255CB9" w:rsidRDefault="008C738F" w:rsidP="008C738F">
      <w:r>
        <w:lastRenderedPageBreak/>
        <w:t xml:space="preserve">Advokatsamfundet, </w:t>
      </w:r>
      <w:r w:rsidRPr="004E6FD9">
        <w:t>Andelsboligforeningernes Fællesrepræsentation</w:t>
      </w:r>
      <w:r>
        <w:t xml:space="preserve">,  Arbejderbevægelsens Erhvervsråd,  ATP,  Borger- og retssikkerhedschefen i Skatteforvaltningen,  </w:t>
      </w:r>
      <w:r w:rsidRPr="00603647">
        <w:t>Brancheforeningen for Aktive Ejere i Danmark,</w:t>
      </w:r>
      <w:r>
        <w:t xml:space="preserve"> Børsmæglerforeningen,  CEPOS, Cevea,  Dansk Aktionærforening, Dansk Arbejdsgiverforening,  Dansk Ejendomskredit,  Dansk Erhverv,  </w:t>
      </w:r>
      <w:r w:rsidRPr="00603647">
        <w:t>Dansk Iværksætterforening,</w:t>
      </w:r>
      <w:r>
        <w:t xml:space="preserve"> Dansk Landbrugsrådgivning,  Danske Advokater, Danske Boligadvokater, DI, EjendomDanmark, Finans Danmark,  Finans og Leasing, Finansforbundet, Finanstilsynet, Foreningen Danske Revisorer,  Forsikring &amp; Pension,  FSR - danske revisorer, </w:t>
      </w:r>
      <w:proofErr w:type="spellStart"/>
      <w:r>
        <w:t>Justitia</w:t>
      </w:r>
      <w:proofErr w:type="spellEnd"/>
      <w:r>
        <w:t xml:space="preserve">, Kraka,  Landbrug &amp; Fødevarer,  Landsskatteretten, Lejernes Landsorganisation, SEGES, Skatteankestyrelsen, </w:t>
      </w:r>
      <w:proofErr w:type="spellStart"/>
      <w:r>
        <w:t>SMVdanmark</w:t>
      </w:r>
      <w:proofErr w:type="spellEnd"/>
      <w:r>
        <w:t xml:space="preserve"> og SRF Skattefaglig Forening.  </w:t>
      </w:r>
    </w:p>
    <w:p w14:paraId="65AC09E4" w14:textId="006ED73C" w:rsidR="007E42A5" w:rsidRPr="00815B3E" w:rsidRDefault="007E42A5" w:rsidP="006F4D48">
      <w:pPr>
        <w:rPr>
          <w:rFonts w:eastAsia="Calibri" w:cs="Times New Roman"/>
          <w:color w:val="000000" w:themeColor="text1"/>
          <w:szCs w:val="24"/>
        </w:rPr>
      </w:pPr>
    </w:p>
    <w:p w14:paraId="140461B9" w14:textId="7FFFC606" w:rsidR="007E42A5" w:rsidRPr="00815B3E" w:rsidRDefault="006E3FE2" w:rsidP="007E42A5">
      <w:pPr>
        <w:pStyle w:val="Overskrift1"/>
        <w:rPr>
          <w:rFonts w:cs="Times New Roman"/>
          <w:bCs w:val="0"/>
          <w:iCs/>
          <w:color w:val="000000" w:themeColor="text1"/>
          <w:sz w:val="24"/>
          <w:szCs w:val="24"/>
        </w:rPr>
      </w:pPr>
      <w:bookmarkStart w:id="570" w:name="_Toc243705914"/>
      <w:bookmarkStart w:id="571" w:name="_Toc329931208"/>
      <w:bookmarkStart w:id="572" w:name="_Toc329931319"/>
      <w:bookmarkStart w:id="573" w:name="_Toc442277394"/>
      <w:bookmarkStart w:id="574" w:name="_Toc442281312"/>
      <w:bookmarkStart w:id="575" w:name="_Toc442281342"/>
      <w:bookmarkStart w:id="576" w:name="_Toc442777852"/>
      <w:bookmarkStart w:id="577" w:name="_Toc442787249"/>
      <w:bookmarkStart w:id="578" w:name="_Toc442787541"/>
      <w:bookmarkStart w:id="579" w:name="_Toc442953247"/>
      <w:bookmarkStart w:id="580" w:name="_Toc443047631"/>
      <w:bookmarkStart w:id="581" w:name="_Toc444095991"/>
      <w:bookmarkStart w:id="582" w:name="_Toc444244517"/>
      <w:bookmarkStart w:id="583" w:name="_Toc498557232"/>
      <w:bookmarkStart w:id="584" w:name="_Toc498557302"/>
      <w:bookmarkStart w:id="585" w:name="_Toc498590036"/>
      <w:bookmarkStart w:id="586" w:name="_Toc498681519"/>
      <w:bookmarkStart w:id="587" w:name="_Toc499152791"/>
      <w:bookmarkStart w:id="588" w:name="_Toc499158750"/>
      <w:bookmarkStart w:id="589" w:name="_Toc499648623"/>
      <w:bookmarkStart w:id="590" w:name="_Toc499728116"/>
      <w:bookmarkStart w:id="591" w:name="_Toc499732964"/>
      <w:bookmarkStart w:id="592" w:name="_Toc499736995"/>
      <w:bookmarkStart w:id="593" w:name="_Toc499812935"/>
      <w:bookmarkStart w:id="594" w:name="_Toc499813738"/>
      <w:bookmarkStart w:id="595" w:name="_Toc500921485"/>
      <w:bookmarkStart w:id="596" w:name="_Toc500921511"/>
      <w:bookmarkStart w:id="597" w:name="_Toc500921622"/>
      <w:bookmarkStart w:id="598" w:name="_Toc501019232"/>
      <w:bookmarkStart w:id="599" w:name="_Toc504483877"/>
      <w:bookmarkStart w:id="600" w:name="_Toc505180555"/>
      <w:bookmarkStart w:id="601" w:name="_Toc505690208"/>
      <w:bookmarkStart w:id="602" w:name="_Toc505701761"/>
      <w:bookmarkStart w:id="603" w:name="_Toc505759553"/>
      <w:bookmarkStart w:id="604" w:name="_Toc505759570"/>
      <w:bookmarkStart w:id="605" w:name="_Toc505762663"/>
      <w:bookmarkStart w:id="606" w:name="_Toc505786003"/>
      <w:bookmarkStart w:id="607" w:name="_Toc506799588"/>
      <w:bookmarkStart w:id="608" w:name="_Toc506799605"/>
      <w:bookmarkStart w:id="609" w:name="_Toc506894564"/>
      <w:bookmarkStart w:id="610" w:name="_Toc507486301"/>
      <w:bookmarkStart w:id="611" w:name="_Toc515271236"/>
      <w:bookmarkStart w:id="612" w:name="_Toc515271559"/>
      <w:bookmarkStart w:id="613" w:name="_Toc515271587"/>
      <w:bookmarkStart w:id="614" w:name="_Toc515280495"/>
      <w:bookmarkStart w:id="615" w:name="_Toc515280646"/>
      <w:bookmarkStart w:id="616" w:name="_Toc515352798"/>
      <w:bookmarkStart w:id="617" w:name="_Toc515540871"/>
      <w:bookmarkStart w:id="618" w:name="_Toc515543711"/>
      <w:bookmarkStart w:id="619" w:name="_Toc515543896"/>
      <w:bookmarkStart w:id="620" w:name="_Toc515551697"/>
      <w:bookmarkStart w:id="621" w:name="_Toc515627639"/>
      <w:bookmarkStart w:id="622" w:name="_Toc516039949"/>
      <w:bookmarkStart w:id="623" w:name="_Toc516155372"/>
      <w:bookmarkStart w:id="624" w:name="_Toc516490273"/>
      <w:bookmarkStart w:id="625" w:name="_Toc518037955"/>
      <w:bookmarkStart w:id="626" w:name="_Toc524599607"/>
      <w:bookmarkStart w:id="627" w:name="_Toc526154940"/>
      <w:bookmarkStart w:id="628" w:name="_Toc526155486"/>
      <w:bookmarkStart w:id="629" w:name="_Toc526155559"/>
      <w:bookmarkStart w:id="630" w:name="_Toc526253996"/>
      <w:bookmarkStart w:id="631" w:name="_Toc526348421"/>
      <w:bookmarkStart w:id="632" w:name="_Toc526374612"/>
      <w:bookmarkStart w:id="633" w:name="_Toc526374628"/>
      <w:bookmarkStart w:id="634" w:name="_Toc526406491"/>
      <w:bookmarkStart w:id="635" w:name="_Toc526409517"/>
      <w:bookmarkStart w:id="636" w:name="_Toc526491416"/>
      <w:bookmarkStart w:id="637" w:name="_Toc526505528"/>
      <w:bookmarkStart w:id="638" w:name="_Toc526756620"/>
      <w:r w:rsidRPr="00815B3E">
        <w:rPr>
          <w:rFonts w:cs="Times New Roman"/>
          <w:bCs w:val="0"/>
          <w:iCs/>
          <w:color w:val="000000" w:themeColor="text1"/>
          <w:sz w:val="24"/>
          <w:szCs w:val="24"/>
        </w:rPr>
        <w:t>1</w:t>
      </w:r>
      <w:r w:rsidR="00264BFD">
        <w:rPr>
          <w:rFonts w:cs="Times New Roman"/>
          <w:bCs w:val="0"/>
          <w:iCs/>
          <w:color w:val="000000" w:themeColor="text1"/>
          <w:sz w:val="24"/>
          <w:szCs w:val="24"/>
        </w:rPr>
        <w:t>0</w:t>
      </w:r>
      <w:r w:rsidR="007E42A5" w:rsidRPr="00815B3E">
        <w:rPr>
          <w:rFonts w:cs="Times New Roman"/>
          <w:bCs w:val="0"/>
          <w:iCs/>
          <w:color w:val="000000" w:themeColor="text1"/>
          <w:sz w:val="24"/>
          <w:szCs w:val="24"/>
        </w:rPr>
        <w:t>. Sammenfattende skema</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tbl>
      <w:tblPr>
        <w:tblW w:w="8930" w:type="dxa"/>
        <w:tblInd w:w="299" w:type="dxa"/>
        <w:tblCellMar>
          <w:top w:w="15" w:type="dxa"/>
          <w:left w:w="85" w:type="dxa"/>
          <w:bottom w:w="15" w:type="dxa"/>
          <w:right w:w="85" w:type="dxa"/>
        </w:tblCellMar>
        <w:tblLook w:val="04A0" w:firstRow="1" w:lastRow="0" w:firstColumn="1" w:lastColumn="0" w:noHBand="0" w:noVBand="1"/>
      </w:tblPr>
      <w:tblGrid>
        <w:gridCol w:w="1676"/>
        <w:gridCol w:w="3685"/>
        <w:gridCol w:w="3569"/>
      </w:tblGrid>
      <w:tr w:rsidR="00815B3E" w:rsidRPr="00815B3E" w14:paraId="14064DC1" w14:textId="77777777" w:rsidTr="001618D7">
        <w:tc>
          <w:tcPr>
            <w:tcW w:w="1676" w:type="dxa"/>
            <w:tcBorders>
              <w:top w:val="single" w:sz="8" w:space="0" w:color="000000"/>
              <w:left w:val="single" w:sz="8" w:space="0" w:color="000000"/>
              <w:bottom w:val="single" w:sz="8" w:space="0" w:color="000000"/>
              <w:right w:val="single" w:sz="8" w:space="0" w:color="000000"/>
            </w:tcBorders>
            <w:hideMark/>
          </w:tcPr>
          <w:p w14:paraId="0725AD48" w14:textId="77777777" w:rsidR="007E42A5" w:rsidRPr="00815B3E" w:rsidRDefault="007E42A5" w:rsidP="001618D7">
            <w:pPr>
              <w:spacing w:after="240"/>
              <w:jc w:val="left"/>
              <w:rPr>
                <w:rFonts w:eastAsia="Times New Roman"/>
                <w:color w:val="000000" w:themeColor="text1"/>
                <w:szCs w:val="24"/>
                <w:lang w:eastAsia="da-DK"/>
              </w:rPr>
            </w:pPr>
            <w:r w:rsidRPr="00815B3E">
              <w:rPr>
                <w:rFonts w:eastAsia="Times New Roman"/>
                <w:color w:val="000000" w:themeColor="text1"/>
                <w:szCs w:val="24"/>
                <w:lang w:eastAsia="da-DK"/>
              </w:rPr>
              <w:t> </w:t>
            </w:r>
          </w:p>
        </w:tc>
        <w:tc>
          <w:tcPr>
            <w:tcW w:w="3685" w:type="dxa"/>
            <w:tcBorders>
              <w:top w:val="single" w:sz="8" w:space="0" w:color="000000"/>
              <w:left w:val="single" w:sz="8" w:space="0" w:color="000000"/>
              <w:bottom w:val="single" w:sz="8" w:space="0" w:color="000000"/>
              <w:right w:val="single" w:sz="8" w:space="0" w:color="000000"/>
            </w:tcBorders>
            <w:hideMark/>
          </w:tcPr>
          <w:p w14:paraId="4B756A0A" w14:textId="77777777" w:rsidR="007E42A5" w:rsidRPr="00815B3E" w:rsidRDefault="007E42A5" w:rsidP="007E42A5">
            <w:pPr>
              <w:spacing w:after="240"/>
              <w:jc w:val="center"/>
              <w:rPr>
                <w:rFonts w:eastAsia="Times New Roman"/>
                <w:color w:val="000000" w:themeColor="text1"/>
                <w:szCs w:val="24"/>
                <w:lang w:eastAsia="da-DK"/>
              </w:rPr>
            </w:pPr>
            <w:r w:rsidRPr="00815B3E">
              <w:rPr>
                <w:rFonts w:eastAsia="Times New Roman"/>
                <w:color w:val="000000" w:themeColor="text1"/>
                <w:szCs w:val="24"/>
                <w:lang w:eastAsia="da-DK"/>
              </w:rPr>
              <w:t>Positive konsekvenser/</w:t>
            </w:r>
            <w:proofErr w:type="spellStart"/>
            <w:r w:rsidRPr="00815B3E">
              <w:rPr>
                <w:rFonts w:eastAsia="Times New Roman"/>
                <w:color w:val="000000" w:themeColor="text1"/>
                <w:szCs w:val="24"/>
                <w:lang w:eastAsia="da-DK"/>
              </w:rPr>
              <w:t>mindreudgifter</w:t>
            </w:r>
            <w:proofErr w:type="spellEnd"/>
            <w:r w:rsidRPr="00815B3E">
              <w:rPr>
                <w:rFonts w:eastAsia="Times New Roman"/>
                <w:color w:val="000000" w:themeColor="text1"/>
                <w:szCs w:val="24"/>
                <w:lang w:eastAsia="da-DK"/>
              </w:rPr>
              <w:t xml:space="preserve"> (hvis ja, angiv omfang/Hvis nej, anfør »Ingen«)</w:t>
            </w:r>
          </w:p>
        </w:tc>
        <w:tc>
          <w:tcPr>
            <w:tcW w:w="3569" w:type="dxa"/>
            <w:tcBorders>
              <w:top w:val="single" w:sz="8" w:space="0" w:color="000000"/>
              <w:left w:val="single" w:sz="8" w:space="0" w:color="000000"/>
              <w:bottom w:val="single" w:sz="8" w:space="0" w:color="000000"/>
              <w:right w:val="single" w:sz="8" w:space="0" w:color="000000"/>
            </w:tcBorders>
            <w:hideMark/>
          </w:tcPr>
          <w:p w14:paraId="7271D506" w14:textId="77777777" w:rsidR="007E42A5" w:rsidRPr="00815B3E" w:rsidRDefault="007E42A5" w:rsidP="007E42A5">
            <w:pPr>
              <w:spacing w:after="240"/>
              <w:jc w:val="center"/>
              <w:rPr>
                <w:rFonts w:ascii="Tahoma" w:eastAsia="Times New Roman" w:hAnsi="Tahoma" w:cs="Tahoma"/>
                <w:color w:val="000000" w:themeColor="text1"/>
                <w:szCs w:val="24"/>
                <w:lang w:eastAsia="da-DK"/>
              </w:rPr>
            </w:pPr>
            <w:r w:rsidRPr="00815B3E">
              <w:rPr>
                <w:rFonts w:eastAsia="Times New Roman" w:cs="Times New Roman"/>
                <w:color w:val="000000" w:themeColor="text1"/>
                <w:szCs w:val="24"/>
                <w:lang w:eastAsia="da-DK"/>
              </w:rPr>
              <w:t xml:space="preserve">Negative konsekvenser/merudgifter </w:t>
            </w:r>
            <w:r w:rsidRPr="00815B3E">
              <w:rPr>
                <w:rFonts w:eastAsia="Times New Roman"/>
                <w:color w:val="000000" w:themeColor="text1"/>
                <w:szCs w:val="24"/>
                <w:lang w:eastAsia="da-DK"/>
              </w:rPr>
              <w:t>(hvis ja, angiv omfang/Hvis nej, anfør »Ingen«)</w:t>
            </w:r>
          </w:p>
        </w:tc>
      </w:tr>
      <w:tr w:rsidR="00815B3E" w:rsidRPr="00815B3E" w14:paraId="00D48626" w14:textId="77777777" w:rsidTr="001618D7">
        <w:tc>
          <w:tcPr>
            <w:tcW w:w="1676" w:type="dxa"/>
            <w:tcBorders>
              <w:top w:val="single" w:sz="8" w:space="0" w:color="000000"/>
              <w:left w:val="single" w:sz="8" w:space="0" w:color="000000"/>
              <w:bottom w:val="single" w:sz="8" w:space="0" w:color="000000"/>
              <w:right w:val="single" w:sz="8" w:space="0" w:color="000000"/>
            </w:tcBorders>
            <w:hideMark/>
          </w:tcPr>
          <w:p w14:paraId="50E1A148" w14:textId="77777777" w:rsidR="007E42A5" w:rsidRPr="00815B3E" w:rsidRDefault="007E42A5" w:rsidP="001618D7">
            <w:pPr>
              <w:spacing w:after="240"/>
              <w:jc w:val="left"/>
              <w:rPr>
                <w:rFonts w:eastAsia="Times New Roman"/>
                <w:color w:val="000000" w:themeColor="text1"/>
                <w:szCs w:val="24"/>
                <w:lang w:eastAsia="da-DK"/>
              </w:rPr>
            </w:pPr>
            <w:r w:rsidRPr="00815B3E">
              <w:rPr>
                <w:rFonts w:eastAsia="Times New Roman"/>
                <w:color w:val="000000" w:themeColor="text1"/>
                <w:szCs w:val="24"/>
                <w:lang w:eastAsia="da-DK"/>
              </w:rPr>
              <w:t>Økonomiske konsekvenser for stat, kommuner og regioner</w:t>
            </w:r>
          </w:p>
        </w:tc>
        <w:tc>
          <w:tcPr>
            <w:tcW w:w="3685" w:type="dxa"/>
            <w:tcBorders>
              <w:top w:val="single" w:sz="8" w:space="0" w:color="000000"/>
              <w:left w:val="single" w:sz="8" w:space="0" w:color="000000"/>
              <w:bottom w:val="single" w:sz="8" w:space="0" w:color="000000"/>
              <w:right w:val="single" w:sz="8" w:space="0" w:color="000000"/>
            </w:tcBorders>
            <w:hideMark/>
          </w:tcPr>
          <w:p w14:paraId="60F82B00" w14:textId="51D2CF86" w:rsidR="007E42A5" w:rsidRDefault="00C762CA" w:rsidP="001D36ED">
            <w:pPr>
              <w:spacing w:after="240"/>
              <w:rPr>
                <w:iCs/>
              </w:rPr>
            </w:pPr>
            <w:r>
              <w:rPr>
                <w:rFonts w:eastAsia="Times New Roman"/>
                <w:color w:val="000000"/>
                <w:szCs w:val="24"/>
                <w:lang w:eastAsia="da-DK"/>
              </w:rPr>
              <w:t>Den foreslå</w:t>
            </w:r>
            <w:r w:rsidRPr="006E47A9">
              <w:rPr>
                <w:rFonts w:eastAsia="Times New Roman"/>
                <w:color w:val="000000"/>
                <w:szCs w:val="24"/>
                <w:lang w:eastAsia="da-DK"/>
              </w:rPr>
              <w:t>ede lagerbeskatning af selskabers ejendomsavancer</w:t>
            </w:r>
            <w:r>
              <w:rPr>
                <w:rFonts w:eastAsia="Times New Roman"/>
                <w:color w:val="000000"/>
                <w:szCs w:val="24"/>
                <w:lang w:eastAsia="da-DK"/>
              </w:rPr>
              <w:t xml:space="preserve"> skønnes at medføre et</w:t>
            </w:r>
            <w:r>
              <w:rPr>
                <w:iCs/>
              </w:rPr>
              <w:t xml:space="preserve"> umiddelbar</w:t>
            </w:r>
            <w:r w:rsidR="00633821">
              <w:rPr>
                <w:iCs/>
              </w:rPr>
              <w:t>t</w:t>
            </w:r>
            <w:r>
              <w:rPr>
                <w:iCs/>
              </w:rPr>
              <w:t xml:space="preserve"> merprovenu på ca. 1.600 mio. kr. årligt, hvilket svarer til ca. 1.200 mio. kr. årligt efter tilbageløb og adfærd.</w:t>
            </w:r>
          </w:p>
          <w:p w14:paraId="7AF51B86" w14:textId="538C0BF7" w:rsidR="006E47A9" w:rsidRPr="006E47A9" w:rsidRDefault="006E47A9" w:rsidP="001D36ED">
            <w:pPr>
              <w:spacing w:after="240"/>
              <w:rPr>
                <w:iCs/>
              </w:rPr>
            </w:pPr>
            <w:r w:rsidRPr="006E47A9">
              <w:rPr>
                <w:iCs/>
              </w:rPr>
              <w:t>Fastholdelse af loft</w:t>
            </w:r>
            <w:r w:rsidR="004360FA">
              <w:rPr>
                <w:iCs/>
              </w:rPr>
              <w:t>et</w:t>
            </w:r>
            <w:r w:rsidRPr="006E47A9">
              <w:rPr>
                <w:iCs/>
              </w:rPr>
              <w:t xml:space="preserve"> over investorfradraget</w:t>
            </w:r>
            <w:r>
              <w:rPr>
                <w:iCs/>
              </w:rPr>
              <w:t xml:space="preserve"> </w:t>
            </w:r>
            <w:r w:rsidRPr="006E47A9">
              <w:rPr>
                <w:iCs/>
              </w:rPr>
              <w:t>skønnes at medføre et umiddelbar</w:t>
            </w:r>
            <w:r w:rsidR="004360FA">
              <w:rPr>
                <w:iCs/>
              </w:rPr>
              <w:t>t</w:t>
            </w:r>
            <w:r w:rsidRPr="006E47A9">
              <w:rPr>
                <w:iCs/>
              </w:rPr>
              <w:t xml:space="preserve"> merprovenu på ca. 1</w:t>
            </w:r>
            <w:r>
              <w:rPr>
                <w:iCs/>
              </w:rPr>
              <w:t>1</w:t>
            </w:r>
            <w:r w:rsidRPr="006E47A9">
              <w:rPr>
                <w:iCs/>
              </w:rPr>
              <w:t xml:space="preserve">0 mio. kr. årligt, hvilket svarer til ca. </w:t>
            </w:r>
            <w:r>
              <w:rPr>
                <w:iCs/>
              </w:rPr>
              <w:t>1</w:t>
            </w:r>
            <w:r w:rsidRPr="006E47A9">
              <w:rPr>
                <w:iCs/>
              </w:rPr>
              <w:t>00 mio. kr. årligt efter tilbageløb og adfærd.</w:t>
            </w:r>
          </w:p>
        </w:tc>
        <w:tc>
          <w:tcPr>
            <w:tcW w:w="3569" w:type="dxa"/>
            <w:tcBorders>
              <w:top w:val="single" w:sz="8" w:space="0" w:color="000000"/>
              <w:left w:val="single" w:sz="8" w:space="0" w:color="000000"/>
              <w:bottom w:val="single" w:sz="8" w:space="0" w:color="000000"/>
              <w:right w:val="single" w:sz="8" w:space="0" w:color="000000"/>
            </w:tcBorders>
            <w:hideMark/>
          </w:tcPr>
          <w:p w14:paraId="282DD1C0" w14:textId="0CF6B0A4" w:rsidR="007E42A5" w:rsidRPr="00815B3E" w:rsidRDefault="00C762CA" w:rsidP="001D36ED">
            <w:pPr>
              <w:spacing w:after="240"/>
              <w:rPr>
                <w:rFonts w:eastAsia="Times New Roman"/>
                <w:color w:val="000000" w:themeColor="text1"/>
                <w:szCs w:val="24"/>
                <w:lang w:eastAsia="da-DK"/>
              </w:rPr>
            </w:pPr>
            <w:r>
              <w:rPr>
                <w:rFonts w:eastAsia="Times New Roman"/>
                <w:color w:val="000000"/>
                <w:szCs w:val="24"/>
                <w:lang w:eastAsia="da-DK"/>
              </w:rPr>
              <w:t>Ingen</w:t>
            </w:r>
          </w:p>
        </w:tc>
      </w:tr>
      <w:tr w:rsidR="00815B3E" w:rsidRPr="00815B3E" w14:paraId="20810933" w14:textId="77777777" w:rsidTr="001618D7">
        <w:tc>
          <w:tcPr>
            <w:tcW w:w="1676" w:type="dxa"/>
            <w:tcBorders>
              <w:top w:val="single" w:sz="8" w:space="0" w:color="000000"/>
              <w:left w:val="single" w:sz="8" w:space="0" w:color="000000"/>
              <w:bottom w:val="single" w:sz="8" w:space="0" w:color="000000"/>
              <w:right w:val="single" w:sz="8" w:space="0" w:color="000000"/>
            </w:tcBorders>
            <w:hideMark/>
          </w:tcPr>
          <w:p w14:paraId="742B19A5" w14:textId="77777777" w:rsidR="007E42A5" w:rsidRPr="00815B3E" w:rsidRDefault="007E42A5" w:rsidP="001618D7">
            <w:pPr>
              <w:spacing w:after="240"/>
              <w:jc w:val="left"/>
              <w:rPr>
                <w:rFonts w:eastAsia="Times New Roman"/>
                <w:color w:val="000000" w:themeColor="text1"/>
                <w:szCs w:val="24"/>
                <w:lang w:eastAsia="da-DK"/>
              </w:rPr>
            </w:pPr>
            <w:r w:rsidRPr="00815B3E">
              <w:rPr>
                <w:rFonts w:eastAsia="Times New Roman"/>
                <w:color w:val="000000" w:themeColor="text1"/>
                <w:szCs w:val="24"/>
                <w:lang w:eastAsia="da-DK"/>
              </w:rPr>
              <w:t>Implementeringskonsekvenser for stat, kommuner og regioner</w:t>
            </w:r>
          </w:p>
        </w:tc>
        <w:tc>
          <w:tcPr>
            <w:tcW w:w="3685" w:type="dxa"/>
            <w:tcBorders>
              <w:top w:val="single" w:sz="8" w:space="0" w:color="000000"/>
              <w:left w:val="single" w:sz="8" w:space="0" w:color="000000"/>
              <w:bottom w:val="single" w:sz="8" w:space="0" w:color="000000"/>
              <w:right w:val="single" w:sz="8" w:space="0" w:color="000000"/>
            </w:tcBorders>
            <w:hideMark/>
          </w:tcPr>
          <w:p w14:paraId="3483D7D6" w14:textId="3743D005" w:rsidR="007E42A5" w:rsidRPr="00815B3E" w:rsidRDefault="00A65302" w:rsidP="001D36ED">
            <w:pPr>
              <w:spacing w:after="240"/>
              <w:rPr>
                <w:rFonts w:eastAsia="Times New Roman"/>
                <w:color w:val="000000" w:themeColor="text1"/>
                <w:szCs w:val="24"/>
                <w:lang w:eastAsia="da-DK"/>
              </w:rPr>
            </w:pPr>
            <w:r>
              <w:rPr>
                <w:rFonts w:eastAsia="Times New Roman"/>
                <w:color w:val="000000" w:themeColor="text1"/>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40FC0CBA" w14:textId="5742CD0E" w:rsidR="007E42A5" w:rsidRPr="00815B3E" w:rsidRDefault="00A65302" w:rsidP="001D36ED">
            <w:pPr>
              <w:spacing w:after="240"/>
              <w:rPr>
                <w:rFonts w:eastAsia="Times New Roman"/>
                <w:color w:val="000000" w:themeColor="text1"/>
                <w:szCs w:val="24"/>
                <w:lang w:eastAsia="da-DK"/>
              </w:rPr>
            </w:pPr>
            <w:r>
              <w:t>Lagerbeskatningen vurderes isoleret set at medføre administrative udgifter for Skatteforvaltningen på 0,5 mio. kr. i 2022, 0,2 mio. kr. i 2023, 12,1 mio. kr. i 2024, 23,3 mio. kr. årligt i 2025-2026 og 12,5 mio. kr. i 2027 og frem.</w:t>
            </w:r>
          </w:p>
        </w:tc>
      </w:tr>
      <w:tr w:rsidR="00C762CA" w:rsidRPr="00815B3E" w14:paraId="1A8AE75A" w14:textId="77777777" w:rsidTr="001618D7">
        <w:tc>
          <w:tcPr>
            <w:tcW w:w="1676" w:type="dxa"/>
            <w:tcBorders>
              <w:top w:val="single" w:sz="8" w:space="0" w:color="000000"/>
              <w:left w:val="single" w:sz="8" w:space="0" w:color="000000"/>
              <w:bottom w:val="single" w:sz="8" w:space="0" w:color="000000"/>
              <w:right w:val="single" w:sz="8" w:space="0" w:color="000000"/>
            </w:tcBorders>
            <w:hideMark/>
          </w:tcPr>
          <w:p w14:paraId="114AA3E6" w14:textId="77777777" w:rsidR="00C762CA" w:rsidRPr="00815B3E" w:rsidRDefault="00C762CA" w:rsidP="00C762CA">
            <w:pPr>
              <w:spacing w:after="240"/>
              <w:jc w:val="left"/>
              <w:rPr>
                <w:rFonts w:eastAsia="Times New Roman"/>
                <w:color w:val="000000" w:themeColor="text1"/>
                <w:szCs w:val="24"/>
                <w:lang w:eastAsia="da-DK"/>
              </w:rPr>
            </w:pPr>
            <w:r w:rsidRPr="00815B3E">
              <w:rPr>
                <w:rFonts w:eastAsia="Times New Roman"/>
                <w:color w:val="000000" w:themeColor="text1"/>
                <w:szCs w:val="24"/>
                <w:lang w:eastAsia="da-DK"/>
              </w:rPr>
              <w:t xml:space="preserve">Økonomiske konsekvenser </w:t>
            </w:r>
            <w:r w:rsidRPr="00815B3E">
              <w:rPr>
                <w:rFonts w:eastAsia="Times New Roman"/>
                <w:color w:val="000000" w:themeColor="text1"/>
                <w:szCs w:val="24"/>
                <w:lang w:eastAsia="da-DK"/>
              </w:rPr>
              <w:lastRenderedPageBreak/>
              <w:t>for erhvervslivet</w:t>
            </w:r>
          </w:p>
        </w:tc>
        <w:tc>
          <w:tcPr>
            <w:tcW w:w="3685" w:type="dxa"/>
            <w:tcBorders>
              <w:top w:val="single" w:sz="8" w:space="0" w:color="000000"/>
              <w:left w:val="single" w:sz="8" w:space="0" w:color="000000"/>
              <w:bottom w:val="single" w:sz="8" w:space="0" w:color="000000"/>
              <w:right w:val="single" w:sz="8" w:space="0" w:color="000000"/>
            </w:tcBorders>
            <w:hideMark/>
          </w:tcPr>
          <w:p w14:paraId="777E7522" w14:textId="7B810BE9" w:rsidR="00C762CA" w:rsidRPr="00815B3E" w:rsidRDefault="00C762CA" w:rsidP="00C762CA">
            <w:pPr>
              <w:spacing w:after="240"/>
              <w:rPr>
                <w:rFonts w:eastAsia="Times New Roman"/>
                <w:color w:val="000000" w:themeColor="text1"/>
                <w:szCs w:val="24"/>
                <w:lang w:eastAsia="da-DK"/>
              </w:rPr>
            </w:pPr>
            <w:r>
              <w:rPr>
                <w:rFonts w:eastAsia="Times New Roman"/>
                <w:color w:val="000000"/>
                <w:szCs w:val="24"/>
                <w:lang w:eastAsia="da-DK"/>
              </w:rPr>
              <w:lastRenderedPageBreak/>
              <w:t>Ingen</w:t>
            </w:r>
          </w:p>
        </w:tc>
        <w:tc>
          <w:tcPr>
            <w:tcW w:w="3569" w:type="dxa"/>
            <w:tcBorders>
              <w:top w:val="single" w:sz="8" w:space="0" w:color="000000"/>
              <w:left w:val="single" w:sz="8" w:space="0" w:color="000000"/>
              <w:bottom w:val="single" w:sz="8" w:space="0" w:color="000000"/>
              <w:right w:val="single" w:sz="8" w:space="0" w:color="000000"/>
            </w:tcBorders>
            <w:hideMark/>
          </w:tcPr>
          <w:p w14:paraId="792C83B4" w14:textId="77777777" w:rsidR="006E47A9" w:rsidRDefault="00C762CA" w:rsidP="00C762CA">
            <w:pPr>
              <w:spacing w:after="240"/>
              <w:rPr>
                <w:rFonts w:eastAsia="Times New Roman"/>
                <w:color w:val="000000"/>
                <w:szCs w:val="24"/>
                <w:lang w:eastAsia="da-DK"/>
              </w:rPr>
            </w:pPr>
            <w:r>
              <w:rPr>
                <w:rFonts w:eastAsia="Times New Roman"/>
                <w:color w:val="000000"/>
                <w:szCs w:val="24"/>
                <w:lang w:eastAsia="da-DK"/>
              </w:rPr>
              <w:t xml:space="preserve">Den foreslåede lagerbeskatning af selskabers ejendomsavancer vil øge </w:t>
            </w:r>
            <w:r>
              <w:rPr>
                <w:rFonts w:eastAsia="Times New Roman"/>
                <w:color w:val="000000"/>
                <w:szCs w:val="24"/>
                <w:lang w:eastAsia="da-DK"/>
              </w:rPr>
              <w:lastRenderedPageBreak/>
              <w:t>beskatningen af selskabers investeringer i udlejningsejendomme.</w:t>
            </w:r>
          </w:p>
          <w:p w14:paraId="49609D9A" w14:textId="751D9791" w:rsidR="006E47A9" w:rsidRPr="006E47A9" w:rsidRDefault="006E47A9" w:rsidP="00C762CA">
            <w:pPr>
              <w:spacing w:after="240"/>
              <w:rPr>
                <w:rFonts w:eastAsia="Times New Roman"/>
                <w:color w:val="000000"/>
                <w:szCs w:val="24"/>
                <w:lang w:eastAsia="da-DK"/>
              </w:rPr>
            </w:pPr>
            <w:r w:rsidRPr="006E47A9">
              <w:rPr>
                <w:rFonts w:eastAsia="Times New Roman"/>
                <w:color w:val="000000"/>
                <w:szCs w:val="24"/>
                <w:lang w:eastAsia="da-DK"/>
              </w:rPr>
              <w:t>Fastholdelse af loft</w:t>
            </w:r>
            <w:r w:rsidR="004360FA">
              <w:rPr>
                <w:rFonts w:eastAsia="Times New Roman"/>
                <w:color w:val="000000"/>
                <w:szCs w:val="24"/>
                <w:lang w:eastAsia="da-DK"/>
              </w:rPr>
              <w:t>et</w:t>
            </w:r>
            <w:r w:rsidRPr="006E47A9">
              <w:rPr>
                <w:rFonts w:eastAsia="Times New Roman"/>
                <w:color w:val="000000"/>
                <w:szCs w:val="24"/>
                <w:lang w:eastAsia="da-DK"/>
              </w:rPr>
              <w:t xml:space="preserve"> over investorfradraget</w:t>
            </w:r>
            <w:r>
              <w:rPr>
                <w:rFonts w:eastAsia="Times New Roman"/>
                <w:color w:val="000000"/>
                <w:szCs w:val="24"/>
                <w:lang w:eastAsia="da-DK"/>
              </w:rPr>
              <w:t xml:space="preserve"> </w:t>
            </w:r>
            <w:r w:rsidR="003D2BF5">
              <w:rPr>
                <w:iCs/>
              </w:rPr>
              <w:t>indebærer, at</w:t>
            </w:r>
            <w:r>
              <w:rPr>
                <w:iCs/>
              </w:rPr>
              <w:t xml:space="preserve"> </w:t>
            </w:r>
            <w:r w:rsidRPr="00534D32">
              <w:rPr>
                <w:iCs/>
              </w:rPr>
              <w:t>små og mellemstore unoterede virksomheder</w:t>
            </w:r>
            <w:r w:rsidR="004360FA">
              <w:rPr>
                <w:iCs/>
              </w:rPr>
              <w:t>s</w:t>
            </w:r>
            <w:r w:rsidRPr="00534D32">
              <w:rPr>
                <w:iCs/>
              </w:rPr>
              <w:t xml:space="preserve"> </w:t>
            </w:r>
            <w:r>
              <w:rPr>
                <w:iCs/>
              </w:rPr>
              <w:t xml:space="preserve">mulighed for at tiltrække risikovillig kapital fra </w:t>
            </w:r>
            <w:r w:rsidRPr="00534D32">
              <w:rPr>
                <w:iCs/>
              </w:rPr>
              <w:t>uafhængige investorer</w:t>
            </w:r>
            <w:r>
              <w:rPr>
                <w:iCs/>
              </w:rPr>
              <w:t xml:space="preserve"> </w:t>
            </w:r>
            <w:r w:rsidRPr="00534D32">
              <w:rPr>
                <w:iCs/>
              </w:rPr>
              <w:t>(personer)</w:t>
            </w:r>
            <w:r w:rsidR="003D2BF5">
              <w:rPr>
                <w:iCs/>
              </w:rPr>
              <w:t xml:space="preserve"> forbliver uændrede</w:t>
            </w:r>
            <w:r>
              <w:rPr>
                <w:iCs/>
              </w:rPr>
              <w:t>.</w:t>
            </w:r>
          </w:p>
        </w:tc>
      </w:tr>
      <w:tr w:rsidR="00C762CA" w:rsidRPr="00815B3E" w14:paraId="754559C8" w14:textId="77777777" w:rsidTr="001618D7">
        <w:tc>
          <w:tcPr>
            <w:tcW w:w="1676" w:type="dxa"/>
            <w:tcBorders>
              <w:top w:val="single" w:sz="8" w:space="0" w:color="000000"/>
              <w:left w:val="single" w:sz="8" w:space="0" w:color="000000"/>
              <w:bottom w:val="single" w:sz="8" w:space="0" w:color="000000"/>
              <w:right w:val="single" w:sz="8" w:space="0" w:color="000000"/>
            </w:tcBorders>
            <w:hideMark/>
          </w:tcPr>
          <w:p w14:paraId="5DDA2955" w14:textId="77777777" w:rsidR="00C762CA" w:rsidRPr="00815B3E" w:rsidRDefault="00C762CA" w:rsidP="00C762CA">
            <w:pPr>
              <w:spacing w:after="240"/>
              <w:jc w:val="left"/>
              <w:rPr>
                <w:rFonts w:eastAsia="Times New Roman"/>
                <w:color w:val="000000" w:themeColor="text1"/>
                <w:szCs w:val="24"/>
                <w:lang w:eastAsia="da-DK"/>
              </w:rPr>
            </w:pPr>
            <w:r w:rsidRPr="00815B3E">
              <w:rPr>
                <w:rFonts w:eastAsia="Times New Roman"/>
                <w:color w:val="000000" w:themeColor="text1"/>
                <w:szCs w:val="24"/>
                <w:lang w:eastAsia="da-DK"/>
              </w:rPr>
              <w:lastRenderedPageBreak/>
              <w:t>Administrative konsekvenser for erhvervslivet</w:t>
            </w:r>
          </w:p>
        </w:tc>
        <w:tc>
          <w:tcPr>
            <w:tcW w:w="3685" w:type="dxa"/>
            <w:tcBorders>
              <w:top w:val="single" w:sz="8" w:space="0" w:color="000000"/>
              <w:left w:val="single" w:sz="8" w:space="0" w:color="000000"/>
              <w:bottom w:val="single" w:sz="8" w:space="0" w:color="000000"/>
              <w:right w:val="single" w:sz="8" w:space="0" w:color="000000"/>
            </w:tcBorders>
            <w:hideMark/>
          </w:tcPr>
          <w:p w14:paraId="15708037" w14:textId="7B2A31D2" w:rsidR="00C762CA" w:rsidRPr="00815B3E" w:rsidRDefault="005022C0" w:rsidP="00C762CA">
            <w:pPr>
              <w:spacing w:after="240"/>
              <w:rPr>
                <w:rFonts w:eastAsia="Times New Roman"/>
                <w:color w:val="000000" w:themeColor="text1"/>
                <w:szCs w:val="24"/>
                <w:lang w:eastAsia="da-DK"/>
              </w:rPr>
            </w:pPr>
            <w:r>
              <w:rPr>
                <w:rFonts w:eastAsia="Times New Roman"/>
                <w:color w:val="000000" w:themeColor="text1"/>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17F38BC2" w14:textId="38C173B8" w:rsidR="005022C0" w:rsidRPr="00815B3E" w:rsidRDefault="00E35A5B" w:rsidP="00C762CA">
            <w:pPr>
              <w:spacing w:after="240"/>
              <w:rPr>
                <w:rFonts w:eastAsia="Times New Roman"/>
                <w:color w:val="000000" w:themeColor="text1"/>
                <w:szCs w:val="24"/>
                <w:lang w:eastAsia="da-DK"/>
              </w:rPr>
            </w:pPr>
            <w:r>
              <w:rPr>
                <w:rFonts w:eastAsia="Times New Roman"/>
                <w:color w:val="000000" w:themeColor="text1"/>
                <w:szCs w:val="24"/>
                <w:lang w:eastAsia="da-DK"/>
              </w:rPr>
              <w:t>Ingen nævneværdige</w:t>
            </w:r>
          </w:p>
        </w:tc>
      </w:tr>
      <w:tr w:rsidR="00C762CA" w:rsidRPr="00815B3E" w14:paraId="67C9B1FA" w14:textId="77777777" w:rsidTr="001618D7">
        <w:tc>
          <w:tcPr>
            <w:tcW w:w="1676" w:type="dxa"/>
            <w:tcBorders>
              <w:top w:val="single" w:sz="8" w:space="0" w:color="000000"/>
              <w:left w:val="single" w:sz="8" w:space="0" w:color="000000"/>
              <w:bottom w:val="single" w:sz="8" w:space="0" w:color="000000"/>
              <w:right w:val="single" w:sz="8" w:space="0" w:color="000000"/>
            </w:tcBorders>
            <w:hideMark/>
          </w:tcPr>
          <w:p w14:paraId="0092325D" w14:textId="77777777" w:rsidR="00C762CA" w:rsidRPr="00815B3E" w:rsidRDefault="00C762CA" w:rsidP="00C762CA">
            <w:pPr>
              <w:spacing w:after="240"/>
              <w:jc w:val="left"/>
              <w:rPr>
                <w:rFonts w:eastAsia="Times New Roman"/>
                <w:color w:val="000000" w:themeColor="text1"/>
                <w:szCs w:val="24"/>
                <w:lang w:eastAsia="da-DK"/>
              </w:rPr>
            </w:pPr>
            <w:r w:rsidRPr="00815B3E">
              <w:rPr>
                <w:rFonts w:eastAsia="Times New Roman"/>
                <w:color w:val="000000" w:themeColor="text1"/>
                <w:szCs w:val="24"/>
                <w:lang w:eastAsia="da-DK"/>
              </w:rPr>
              <w:t>Administrative konsekvenser for borgerne</w:t>
            </w:r>
          </w:p>
        </w:tc>
        <w:tc>
          <w:tcPr>
            <w:tcW w:w="3685" w:type="dxa"/>
            <w:tcBorders>
              <w:top w:val="single" w:sz="8" w:space="0" w:color="000000"/>
              <w:left w:val="single" w:sz="8" w:space="0" w:color="000000"/>
              <w:bottom w:val="single" w:sz="8" w:space="0" w:color="000000"/>
              <w:right w:val="single" w:sz="8" w:space="0" w:color="000000"/>
            </w:tcBorders>
            <w:hideMark/>
          </w:tcPr>
          <w:p w14:paraId="03A2D20F" w14:textId="03D4D0DC" w:rsidR="00C762CA" w:rsidRPr="00815B3E" w:rsidRDefault="00494BD8" w:rsidP="00C762CA">
            <w:pPr>
              <w:spacing w:after="240"/>
              <w:rPr>
                <w:rFonts w:eastAsia="Times New Roman"/>
                <w:color w:val="000000" w:themeColor="text1"/>
                <w:szCs w:val="24"/>
                <w:lang w:eastAsia="da-DK"/>
              </w:rPr>
            </w:pPr>
            <w:r>
              <w:rPr>
                <w:rFonts w:eastAsia="Times New Roman"/>
                <w:color w:val="000000" w:themeColor="text1"/>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18614CBD" w14:textId="22EC86A9" w:rsidR="00C762CA" w:rsidRPr="00815B3E" w:rsidRDefault="00494BD8" w:rsidP="00C762CA">
            <w:pPr>
              <w:spacing w:after="240"/>
              <w:rPr>
                <w:rFonts w:eastAsia="Times New Roman"/>
                <w:color w:val="000000" w:themeColor="text1"/>
                <w:szCs w:val="24"/>
                <w:lang w:eastAsia="da-DK"/>
              </w:rPr>
            </w:pPr>
            <w:r>
              <w:rPr>
                <w:rFonts w:eastAsia="Times New Roman"/>
                <w:color w:val="000000" w:themeColor="text1"/>
                <w:szCs w:val="24"/>
                <w:lang w:eastAsia="da-DK"/>
              </w:rPr>
              <w:t>Ingen</w:t>
            </w:r>
          </w:p>
        </w:tc>
      </w:tr>
      <w:tr w:rsidR="00C762CA" w:rsidRPr="00815B3E" w14:paraId="674C02EA" w14:textId="77777777" w:rsidTr="001618D7">
        <w:tc>
          <w:tcPr>
            <w:tcW w:w="1676" w:type="dxa"/>
            <w:tcBorders>
              <w:top w:val="single" w:sz="8" w:space="0" w:color="000000"/>
              <w:left w:val="single" w:sz="8" w:space="0" w:color="000000"/>
              <w:bottom w:val="single" w:sz="8" w:space="0" w:color="000000"/>
              <w:right w:val="single" w:sz="8" w:space="0" w:color="000000"/>
            </w:tcBorders>
          </w:tcPr>
          <w:p w14:paraId="3FBDB10C" w14:textId="77777777" w:rsidR="00C762CA" w:rsidRPr="00815B3E" w:rsidRDefault="00C762CA" w:rsidP="00C762CA">
            <w:pPr>
              <w:spacing w:after="240"/>
              <w:jc w:val="left"/>
              <w:rPr>
                <w:rFonts w:eastAsia="Times New Roman"/>
                <w:color w:val="000000" w:themeColor="text1"/>
                <w:szCs w:val="24"/>
                <w:lang w:eastAsia="da-DK"/>
              </w:rPr>
            </w:pPr>
            <w:r w:rsidRPr="00815B3E">
              <w:rPr>
                <w:rFonts w:eastAsia="Times New Roman"/>
                <w:color w:val="000000" w:themeColor="text1"/>
                <w:szCs w:val="24"/>
                <w:lang w:eastAsia="da-DK"/>
              </w:rPr>
              <w:t>Klimamæssige konsekvenser</w:t>
            </w:r>
          </w:p>
        </w:tc>
        <w:tc>
          <w:tcPr>
            <w:tcW w:w="3685" w:type="dxa"/>
            <w:tcBorders>
              <w:top w:val="single" w:sz="8" w:space="0" w:color="000000"/>
              <w:left w:val="single" w:sz="8" w:space="0" w:color="000000"/>
              <w:bottom w:val="single" w:sz="8" w:space="0" w:color="000000"/>
              <w:right w:val="single" w:sz="8" w:space="0" w:color="000000"/>
            </w:tcBorders>
          </w:tcPr>
          <w:p w14:paraId="6B3DF49F" w14:textId="296B287B" w:rsidR="00C762CA" w:rsidRPr="00815B3E" w:rsidRDefault="00494BD8" w:rsidP="00C762CA">
            <w:pPr>
              <w:spacing w:after="240"/>
              <w:rPr>
                <w:rFonts w:eastAsia="Times New Roman"/>
                <w:color w:val="000000" w:themeColor="text1"/>
                <w:szCs w:val="24"/>
                <w:lang w:eastAsia="da-DK"/>
              </w:rPr>
            </w:pPr>
            <w:r>
              <w:rPr>
                <w:rFonts w:eastAsia="Times New Roman"/>
                <w:color w:val="000000" w:themeColor="text1"/>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tcPr>
          <w:p w14:paraId="42DE5ABE" w14:textId="76F89216" w:rsidR="00C762CA" w:rsidRPr="00815B3E" w:rsidRDefault="00494BD8" w:rsidP="00C762CA">
            <w:pPr>
              <w:spacing w:after="240"/>
              <w:rPr>
                <w:rFonts w:eastAsia="Times New Roman"/>
                <w:color w:val="000000" w:themeColor="text1"/>
                <w:szCs w:val="24"/>
                <w:lang w:eastAsia="da-DK"/>
              </w:rPr>
            </w:pPr>
            <w:r>
              <w:rPr>
                <w:rFonts w:eastAsia="Times New Roman"/>
                <w:color w:val="000000" w:themeColor="text1"/>
                <w:szCs w:val="24"/>
                <w:lang w:eastAsia="da-DK"/>
              </w:rPr>
              <w:t>Ingen</w:t>
            </w:r>
          </w:p>
        </w:tc>
      </w:tr>
      <w:tr w:rsidR="00C762CA" w:rsidRPr="00815B3E" w14:paraId="21235288" w14:textId="77777777" w:rsidTr="001618D7">
        <w:tc>
          <w:tcPr>
            <w:tcW w:w="1676" w:type="dxa"/>
            <w:tcBorders>
              <w:top w:val="single" w:sz="8" w:space="0" w:color="000000"/>
              <w:left w:val="single" w:sz="8" w:space="0" w:color="000000"/>
              <w:bottom w:val="single" w:sz="18" w:space="0" w:color="auto"/>
              <w:right w:val="single" w:sz="8" w:space="0" w:color="000000"/>
            </w:tcBorders>
            <w:hideMark/>
          </w:tcPr>
          <w:p w14:paraId="6A18A751" w14:textId="77777777" w:rsidR="00C762CA" w:rsidRPr="00815B3E" w:rsidRDefault="00C762CA" w:rsidP="00C762CA">
            <w:pPr>
              <w:spacing w:after="240"/>
              <w:jc w:val="left"/>
              <w:rPr>
                <w:rFonts w:eastAsia="Times New Roman"/>
                <w:color w:val="000000" w:themeColor="text1"/>
                <w:szCs w:val="24"/>
                <w:lang w:eastAsia="da-DK"/>
              </w:rPr>
            </w:pPr>
            <w:r w:rsidRPr="00815B3E">
              <w:rPr>
                <w:rFonts w:eastAsia="Times New Roman"/>
                <w:color w:val="000000" w:themeColor="text1"/>
                <w:szCs w:val="24"/>
                <w:lang w:eastAsia="da-DK"/>
              </w:rPr>
              <w:t>Miljø- og naturmæssige konsekvenser</w:t>
            </w:r>
          </w:p>
        </w:tc>
        <w:tc>
          <w:tcPr>
            <w:tcW w:w="3685" w:type="dxa"/>
            <w:tcBorders>
              <w:top w:val="single" w:sz="8" w:space="0" w:color="000000"/>
              <w:left w:val="single" w:sz="8" w:space="0" w:color="000000"/>
              <w:bottom w:val="single" w:sz="18" w:space="0" w:color="auto"/>
              <w:right w:val="single" w:sz="8" w:space="0" w:color="000000"/>
            </w:tcBorders>
            <w:hideMark/>
          </w:tcPr>
          <w:p w14:paraId="4ED7C63C" w14:textId="502A9E7B" w:rsidR="00C762CA" w:rsidRPr="00815B3E" w:rsidRDefault="00494BD8" w:rsidP="00C762CA">
            <w:pPr>
              <w:spacing w:after="240"/>
              <w:rPr>
                <w:rFonts w:eastAsia="Times New Roman"/>
                <w:color w:val="000000" w:themeColor="text1"/>
                <w:szCs w:val="24"/>
                <w:lang w:eastAsia="da-DK"/>
              </w:rPr>
            </w:pPr>
            <w:r>
              <w:rPr>
                <w:rFonts w:eastAsia="Times New Roman"/>
                <w:color w:val="000000" w:themeColor="text1"/>
                <w:szCs w:val="24"/>
                <w:lang w:eastAsia="da-DK"/>
              </w:rPr>
              <w:t>Ingen</w:t>
            </w:r>
          </w:p>
        </w:tc>
        <w:tc>
          <w:tcPr>
            <w:tcW w:w="3569" w:type="dxa"/>
            <w:tcBorders>
              <w:top w:val="single" w:sz="8" w:space="0" w:color="000000"/>
              <w:left w:val="single" w:sz="8" w:space="0" w:color="000000"/>
              <w:bottom w:val="single" w:sz="18" w:space="0" w:color="auto"/>
              <w:right w:val="single" w:sz="8" w:space="0" w:color="000000"/>
            </w:tcBorders>
            <w:hideMark/>
          </w:tcPr>
          <w:p w14:paraId="46DCD6A5" w14:textId="24B317FB" w:rsidR="00C762CA" w:rsidRPr="00815B3E" w:rsidRDefault="00494BD8" w:rsidP="00C762CA">
            <w:pPr>
              <w:spacing w:after="240"/>
              <w:rPr>
                <w:rFonts w:eastAsia="Times New Roman"/>
                <w:color w:val="000000" w:themeColor="text1"/>
                <w:szCs w:val="24"/>
                <w:lang w:eastAsia="da-DK"/>
              </w:rPr>
            </w:pPr>
            <w:r>
              <w:rPr>
                <w:rFonts w:eastAsia="Times New Roman"/>
                <w:color w:val="000000" w:themeColor="text1"/>
                <w:szCs w:val="24"/>
                <w:lang w:eastAsia="da-DK"/>
              </w:rPr>
              <w:t>Ingen</w:t>
            </w:r>
          </w:p>
        </w:tc>
      </w:tr>
      <w:tr w:rsidR="00C762CA" w:rsidRPr="00815B3E" w14:paraId="7C953688" w14:textId="77777777" w:rsidTr="001618D7">
        <w:tc>
          <w:tcPr>
            <w:tcW w:w="1676" w:type="dxa"/>
            <w:tcBorders>
              <w:top w:val="single" w:sz="18" w:space="0" w:color="auto"/>
              <w:left w:val="single" w:sz="8" w:space="0" w:color="000000"/>
              <w:bottom w:val="single" w:sz="4" w:space="0" w:color="auto"/>
              <w:right w:val="single" w:sz="8" w:space="0" w:color="000000"/>
            </w:tcBorders>
            <w:hideMark/>
          </w:tcPr>
          <w:p w14:paraId="6321F608" w14:textId="77777777" w:rsidR="00C762CA" w:rsidRPr="00815B3E" w:rsidRDefault="00C762CA" w:rsidP="00C762CA">
            <w:pPr>
              <w:spacing w:after="240"/>
              <w:jc w:val="left"/>
              <w:rPr>
                <w:rFonts w:eastAsia="Times New Roman"/>
                <w:color w:val="000000" w:themeColor="text1"/>
                <w:szCs w:val="24"/>
                <w:lang w:eastAsia="da-DK"/>
              </w:rPr>
            </w:pPr>
            <w:r w:rsidRPr="00815B3E">
              <w:rPr>
                <w:rFonts w:eastAsia="Times New Roman"/>
                <w:color w:val="000000" w:themeColor="text1"/>
                <w:szCs w:val="24"/>
                <w:lang w:eastAsia="da-DK"/>
              </w:rPr>
              <w:t>Forholdet til EU-retten</w:t>
            </w:r>
          </w:p>
        </w:tc>
        <w:tc>
          <w:tcPr>
            <w:tcW w:w="7254" w:type="dxa"/>
            <w:gridSpan w:val="2"/>
            <w:tcBorders>
              <w:top w:val="single" w:sz="18" w:space="0" w:color="auto"/>
              <w:left w:val="single" w:sz="8" w:space="0" w:color="000000"/>
              <w:bottom w:val="single" w:sz="4" w:space="0" w:color="auto"/>
              <w:right w:val="single" w:sz="8" w:space="0" w:color="000000"/>
            </w:tcBorders>
            <w:hideMark/>
          </w:tcPr>
          <w:p w14:paraId="069A4646" w14:textId="0B4C7A28" w:rsidR="00494BD8" w:rsidRPr="00815B3E" w:rsidRDefault="00494BD8" w:rsidP="00494BD8">
            <w:pPr>
              <w:rPr>
                <w:iCs/>
                <w:color w:val="000000" w:themeColor="text1"/>
              </w:rPr>
            </w:pPr>
            <w:r w:rsidRPr="00815B3E">
              <w:rPr>
                <w:iCs/>
                <w:color w:val="000000" w:themeColor="text1"/>
              </w:rPr>
              <w:t xml:space="preserve">Lovforslaget om indførelse af lagerbeskatning af selskabers ejendomsavancer </w:t>
            </w:r>
            <w:r w:rsidR="0095271F">
              <w:rPr>
                <w:rFonts w:eastAsia="Calibri" w:cs="Times New Roman"/>
                <w:szCs w:val="24"/>
              </w:rPr>
              <w:t xml:space="preserve">indeholder ingen </w:t>
            </w:r>
            <w:proofErr w:type="spellStart"/>
            <w:r w:rsidR="0095271F">
              <w:rPr>
                <w:rFonts w:eastAsia="Calibri" w:cs="Times New Roman"/>
                <w:szCs w:val="24"/>
              </w:rPr>
              <w:t>EU-retlige</w:t>
            </w:r>
            <w:proofErr w:type="spellEnd"/>
            <w:r w:rsidR="0095271F">
              <w:rPr>
                <w:rFonts w:eastAsia="Calibri" w:cs="Times New Roman"/>
                <w:szCs w:val="24"/>
              </w:rPr>
              <w:t xml:space="preserve"> aspekter</w:t>
            </w:r>
            <w:r w:rsidRPr="00815B3E">
              <w:rPr>
                <w:iCs/>
                <w:color w:val="000000" w:themeColor="text1"/>
              </w:rPr>
              <w:t>.</w:t>
            </w:r>
          </w:p>
          <w:p w14:paraId="6786ACFD" w14:textId="77777777" w:rsidR="00494BD8" w:rsidRPr="00815B3E" w:rsidRDefault="00494BD8" w:rsidP="00494BD8">
            <w:pPr>
              <w:rPr>
                <w:iCs/>
                <w:color w:val="000000" w:themeColor="text1"/>
              </w:rPr>
            </w:pPr>
          </w:p>
          <w:p w14:paraId="34A763A4" w14:textId="77777777" w:rsidR="00494BD8" w:rsidRPr="00815B3E" w:rsidRDefault="00494BD8" w:rsidP="00494BD8">
            <w:pPr>
              <w:rPr>
                <w:iCs/>
                <w:color w:val="000000" w:themeColor="text1"/>
              </w:rPr>
            </w:pPr>
            <w:r w:rsidRPr="00815B3E">
              <w:rPr>
                <w:iCs/>
                <w:color w:val="000000" w:themeColor="text1"/>
              </w:rPr>
              <w:t>For så vidt angår investorfradraget</w:t>
            </w:r>
            <w:r>
              <w:rPr>
                <w:iCs/>
                <w:color w:val="000000" w:themeColor="text1"/>
              </w:rPr>
              <w:t>,</w:t>
            </w:r>
            <w:r w:rsidRPr="00815B3E">
              <w:rPr>
                <w:color w:val="000000" w:themeColor="text1"/>
              </w:rPr>
              <w:t xml:space="preserve"> </w:t>
            </w:r>
            <w:r w:rsidRPr="00815B3E">
              <w:rPr>
                <w:iCs/>
                <w:color w:val="000000" w:themeColor="text1"/>
              </w:rPr>
              <w:t xml:space="preserve">udgør ordningen statsstøtte til de små og mellemstore virksomheder, der investeres i. Investorfradragsloven er udarbejdet i overensstemmelse med Europa-Kommissionens forordning nr. 651/2014 af 27. juni 2014 om visse kategorier af støttes forenelighed med det indre marked i henhold til traktatens artikel 107 og 108 (EU’s gruppefritagelsesordning), herunder forordningens artikel 21 om risikofinansieringsstøtte til små og mellemstore virksomheder. Ordninger, der overholder betingelserne i forordningen, kan sættes i kraft uden forudgående anmeldelse til og godkendelse af Kommissionen. </w:t>
            </w:r>
          </w:p>
          <w:p w14:paraId="14A65C7A" w14:textId="77777777" w:rsidR="00494BD8" w:rsidRPr="00815B3E" w:rsidRDefault="00494BD8" w:rsidP="00494BD8">
            <w:pPr>
              <w:rPr>
                <w:iCs/>
                <w:color w:val="000000" w:themeColor="text1"/>
              </w:rPr>
            </w:pPr>
          </w:p>
          <w:p w14:paraId="28E88DD0" w14:textId="3E498B7A" w:rsidR="00C762CA" w:rsidRPr="00494BD8" w:rsidRDefault="00494BD8" w:rsidP="00494BD8">
            <w:pPr>
              <w:rPr>
                <w:iCs/>
                <w:color w:val="000000" w:themeColor="text1"/>
              </w:rPr>
            </w:pPr>
            <w:r w:rsidRPr="00815B3E">
              <w:rPr>
                <w:iCs/>
                <w:color w:val="000000" w:themeColor="text1"/>
              </w:rPr>
              <w:t xml:space="preserve">Den foreslåede fastholdelse af det nuværende loft over investorfradraget ændrer ikke på den nuværende ordning, og betingelserne i forordningen er fortsat overholdt. </w:t>
            </w:r>
          </w:p>
        </w:tc>
      </w:tr>
      <w:tr w:rsidR="00C762CA" w:rsidRPr="00815B3E" w14:paraId="40F5C5EF" w14:textId="77777777" w:rsidTr="001618D7">
        <w:tc>
          <w:tcPr>
            <w:tcW w:w="1676" w:type="dxa"/>
            <w:tcBorders>
              <w:top w:val="single" w:sz="4" w:space="0" w:color="auto"/>
              <w:left w:val="single" w:sz="8" w:space="0" w:color="000000"/>
              <w:bottom w:val="single" w:sz="8" w:space="0" w:color="000000"/>
              <w:right w:val="single" w:sz="8" w:space="0" w:color="000000"/>
            </w:tcBorders>
          </w:tcPr>
          <w:p w14:paraId="0359F4AC" w14:textId="77777777" w:rsidR="00C762CA" w:rsidRPr="00815B3E" w:rsidRDefault="00C762CA" w:rsidP="00C762CA">
            <w:pPr>
              <w:spacing w:after="240"/>
              <w:jc w:val="left"/>
              <w:rPr>
                <w:rFonts w:eastAsia="Times New Roman"/>
                <w:color w:val="000000" w:themeColor="text1"/>
                <w:szCs w:val="24"/>
                <w:lang w:eastAsia="da-DK"/>
              </w:rPr>
            </w:pPr>
            <w:r w:rsidRPr="00815B3E">
              <w:rPr>
                <w:rFonts w:eastAsia="Times New Roman"/>
                <w:color w:val="000000" w:themeColor="text1"/>
                <w:szCs w:val="24"/>
                <w:lang w:eastAsia="da-DK"/>
              </w:rPr>
              <w:lastRenderedPageBreak/>
              <w:t>Er i strid med de principper for implementering af erhvervsrettet EU-regulering/ Går videre end minimumskrav i EU-regulering (sæt X)</w:t>
            </w:r>
          </w:p>
        </w:tc>
        <w:tc>
          <w:tcPr>
            <w:tcW w:w="7254" w:type="dxa"/>
            <w:gridSpan w:val="2"/>
            <w:tcBorders>
              <w:top w:val="single" w:sz="4" w:space="0" w:color="auto"/>
              <w:left w:val="single" w:sz="8" w:space="0" w:color="000000"/>
              <w:bottom w:val="single" w:sz="8" w:space="0" w:color="000000"/>
              <w:right w:val="single" w:sz="8" w:space="0" w:color="000000"/>
            </w:tcBorders>
          </w:tcPr>
          <w:p w14:paraId="2D0C284D" w14:textId="77777777" w:rsidR="00C762CA" w:rsidRPr="00815B3E" w:rsidRDefault="00C762CA" w:rsidP="00C762CA">
            <w:pPr>
              <w:spacing w:after="240"/>
              <w:rPr>
                <w:color w:val="000000" w:themeColor="text1"/>
                <w:szCs w:val="24"/>
              </w:rPr>
            </w:pPr>
          </w:p>
          <w:p w14:paraId="28CAE2B4" w14:textId="77777777" w:rsidR="00C762CA" w:rsidRDefault="00C762CA" w:rsidP="00C762CA">
            <w:pPr>
              <w:spacing w:after="240"/>
              <w:rPr>
                <w:color w:val="000000" w:themeColor="text1"/>
                <w:szCs w:val="24"/>
              </w:rPr>
            </w:pPr>
            <w:r w:rsidRPr="00815B3E">
              <w:rPr>
                <w:color w:val="000000" w:themeColor="text1"/>
                <w:szCs w:val="24"/>
              </w:rPr>
              <w:t xml:space="preserve">                            Ja                                                     Nej</w:t>
            </w:r>
          </w:p>
          <w:p w14:paraId="4672E631" w14:textId="497DE59F" w:rsidR="00494BD8" w:rsidRPr="00815B3E" w:rsidRDefault="00494BD8" w:rsidP="00C762CA">
            <w:pPr>
              <w:spacing w:after="240"/>
              <w:rPr>
                <w:color w:val="000000" w:themeColor="text1"/>
                <w:szCs w:val="24"/>
              </w:rPr>
            </w:pPr>
            <w:r>
              <w:rPr>
                <w:color w:val="000000" w:themeColor="text1"/>
                <w:szCs w:val="24"/>
              </w:rPr>
              <w:t xml:space="preserve">                                                                                       X</w:t>
            </w:r>
          </w:p>
        </w:tc>
      </w:tr>
    </w:tbl>
    <w:p w14:paraId="2FB73D63" w14:textId="77777777" w:rsidR="007E42A5" w:rsidRPr="00815B3E" w:rsidRDefault="007E42A5" w:rsidP="007E42A5">
      <w:pPr>
        <w:spacing w:after="240"/>
        <w:rPr>
          <w:rFonts w:eastAsia="Calibri" w:cs="Times New Roman"/>
          <w:color w:val="000000" w:themeColor="text1"/>
          <w:szCs w:val="24"/>
        </w:rPr>
      </w:pPr>
    </w:p>
    <w:p w14:paraId="23BAD775" w14:textId="77777777" w:rsidR="007E42A5" w:rsidRPr="00815B3E" w:rsidRDefault="007E42A5" w:rsidP="007E42A5">
      <w:pPr>
        <w:spacing w:after="240"/>
        <w:jc w:val="center"/>
        <w:rPr>
          <w:rFonts w:eastAsia="Calibri" w:cs="Times New Roman"/>
          <w:i/>
          <w:color w:val="000000" w:themeColor="text1"/>
          <w:szCs w:val="24"/>
        </w:rPr>
        <w:sectPr w:rsidR="007E42A5" w:rsidRPr="00815B3E" w:rsidSect="00D712BA">
          <w:pgSz w:w="11906" w:h="16838" w:code="9"/>
          <w:pgMar w:top="1418" w:right="3260" w:bottom="1134" w:left="1418" w:header="0" w:footer="709" w:gutter="0"/>
          <w:cols w:space="708"/>
          <w:titlePg/>
          <w:docGrid w:linePitch="360"/>
        </w:sectPr>
      </w:pPr>
    </w:p>
    <w:p w14:paraId="51E86AD6" w14:textId="77777777" w:rsidR="007E42A5" w:rsidRPr="00815B3E" w:rsidRDefault="007E42A5" w:rsidP="007E42A5">
      <w:pPr>
        <w:spacing w:after="240"/>
        <w:jc w:val="center"/>
        <w:rPr>
          <w:rFonts w:eastAsia="Calibri" w:cs="Times New Roman"/>
          <w:i/>
          <w:color w:val="000000" w:themeColor="text1"/>
          <w:szCs w:val="24"/>
        </w:rPr>
      </w:pPr>
      <w:r w:rsidRPr="00815B3E">
        <w:rPr>
          <w:rFonts w:eastAsia="Calibri" w:cs="Times New Roman"/>
          <w:i/>
          <w:color w:val="000000" w:themeColor="text1"/>
          <w:szCs w:val="24"/>
        </w:rPr>
        <w:lastRenderedPageBreak/>
        <w:t>Bemærkninger til lovforslagets enkelte bestemmelser</w:t>
      </w:r>
    </w:p>
    <w:p w14:paraId="2CF5C3B5" w14:textId="504282A8" w:rsidR="007E42A5" w:rsidRPr="00815B3E" w:rsidRDefault="007E42A5" w:rsidP="007E42A5">
      <w:pPr>
        <w:spacing w:after="240"/>
        <w:jc w:val="center"/>
        <w:rPr>
          <w:rFonts w:cs="Times New Roman"/>
          <w:i/>
          <w:color w:val="000000" w:themeColor="text1"/>
          <w:szCs w:val="24"/>
        </w:rPr>
      </w:pPr>
      <w:r w:rsidRPr="00815B3E">
        <w:rPr>
          <w:rFonts w:cs="Times New Roman"/>
          <w:i/>
          <w:color w:val="000000" w:themeColor="text1"/>
          <w:szCs w:val="24"/>
        </w:rPr>
        <w:t xml:space="preserve">Til § </w:t>
      </w:r>
      <w:r w:rsidR="00676E9F">
        <w:rPr>
          <w:rFonts w:cs="Times New Roman"/>
          <w:i/>
          <w:color w:val="000000" w:themeColor="text1"/>
          <w:szCs w:val="24"/>
        </w:rPr>
        <w:t>1</w:t>
      </w:r>
    </w:p>
    <w:p w14:paraId="6F34D99E" w14:textId="39483A5B" w:rsidR="00673631" w:rsidRPr="00815B3E" w:rsidRDefault="00673631" w:rsidP="00673631">
      <w:pPr>
        <w:spacing w:after="240"/>
        <w:rPr>
          <w:rFonts w:cs="Times New Roman"/>
          <w:color w:val="000000" w:themeColor="text1"/>
          <w:szCs w:val="24"/>
        </w:rPr>
      </w:pPr>
      <w:r w:rsidRPr="00815B3E">
        <w:rPr>
          <w:rFonts w:cs="Times New Roman"/>
          <w:color w:val="000000" w:themeColor="text1"/>
          <w:szCs w:val="24"/>
        </w:rPr>
        <w:t xml:space="preserve">Til nr. </w:t>
      </w:r>
      <w:r w:rsidR="00BA442C" w:rsidRPr="00815B3E">
        <w:rPr>
          <w:rFonts w:cs="Times New Roman"/>
          <w:color w:val="000000" w:themeColor="text1"/>
          <w:szCs w:val="24"/>
        </w:rPr>
        <w:t>1</w:t>
      </w:r>
    </w:p>
    <w:p w14:paraId="0520D4AB" w14:textId="2A60D6AE" w:rsidR="00BA442C" w:rsidRPr="00815B3E" w:rsidRDefault="002C22F5" w:rsidP="00673631">
      <w:pPr>
        <w:spacing w:after="240"/>
        <w:rPr>
          <w:rFonts w:cs="Times New Roman"/>
          <w:color w:val="000000" w:themeColor="text1"/>
          <w:szCs w:val="24"/>
        </w:rPr>
      </w:pPr>
      <w:r w:rsidRPr="00815B3E">
        <w:rPr>
          <w:rFonts w:cs="Times New Roman"/>
          <w:color w:val="000000" w:themeColor="text1"/>
          <w:szCs w:val="24"/>
        </w:rPr>
        <w:t xml:space="preserve">Ejendomsavancebeskatningsloven </w:t>
      </w:r>
      <w:r w:rsidR="00B6284D">
        <w:rPr>
          <w:rFonts w:cs="Times New Roman"/>
          <w:color w:val="000000" w:themeColor="text1"/>
          <w:szCs w:val="24"/>
        </w:rPr>
        <w:t>er</w:t>
      </w:r>
      <w:r w:rsidR="00B6284D" w:rsidRPr="00815B3E">
        <w:rPr>
          <w:rFonts w:cs="Times New Roman"/>
          <w:color w:val="000000" w:themeColor="text1"/>
          <w:szCs w:val="24"/>
        </w:rPr>
        <w:t xml:space="preserve"> </w:t>
      </w:r>
      <w:r w:rsidRPr="00815B3E">
        <w:rPr>
          <w:rFonts w:cs="Times New Roman"/>
          <w:color w:val="000000" w:themeColor="text1"/>
          <w:szCs w:val="24"/>
        </w:rPr>
        <w:t xml:space="preserve">i dag </w:t>
      </w:r>
      <w:r w:rsidR="00B6284D">
        <w:rPr>
          <w:rFonts w:cs="Times New Roman"/>
          <w:color w:val="000000" w:themeColor="text1"/>
          <w:szCs w:val="24"/>
        </w:rPr>
        <w:t>baseret på</w:t>
      </w:r>
      <w:r w:rsidR="00B6284D" w:rsidRPr="00815B3E">
        <w:rPr>
          <w:rFonts w:cs="Times New Roman"/>
          <w:color w:val="000000" w:themeColor="text1"/>
          <w:szCs w:val="24"/>
        </w:rPr>
        <w:t xml:space="preserve"> </w:t>
      </w:r>
      <w:r w:rsidRPr="00815B3E">
        <w:rPr>
          <w:rFonts w:cs="Times New Roman"/>
          <w:color w:val="000000" w:themeColor="text1"/>
          <w:szCs w:val="24"/>
        </w:rPr>
        <w:t>et realisationsbeskatningsprincip, som</w:t>
      </w:r>
      <w:r w:rsidR="00B6284D">
        <w:rPr>
          <w:rFonts w:cs="Times New Roman"/>
          <w:color w:val="000000" w:themeColor="text1"/>
          <w:szCs w:val="24"/>
        </w:rPr>
        <w:t xml:space="preserve"> indebærer</w:t>
      </w:r>
      <w:r w:rsidRPr="00815B3E">
        <w:rPr>
          <w:rFonts w:cs="Times New Roman"/>
          <w:color w:val="000000" w:themeColor="text1"/>
          <w:szCs w:val="24"/>
        </w:rPr>
        <w:t xml:space="preserve">, at </w:t>
      </w:r>
      <w:r w:rsidR="00A313D5" w:rsidRPr="00815B3E">
        <w:rPr>
          <w:rFonts w:cs="Times New Roman"/>
          <w:color w:val="000000" w:themeColor="text1"/>
          <w:szCs w:val="24"/>
        </w:rPr>
        <w:t>en ejendomsavance beskattes</w:t>
      </w:r>
      <w:r w:rsidR="00B6284D">
        <w:rPr>
          <w:rFonts w:cs="Times New Roman"/>
          <w:color w:val="000000" w:themeColor="text1"/>
          <w:szCs w:val="24"/>
        </w:rPr>
        <w:t xml:space="preserve"> på realisationstidspunktet dvs.</w:t>
      </w:r>
      <w:r w:rsidR="00A313D5" w:rsidRPr="00815B3E">
        <w:rPr>
          <w:rFonts w:cs="Times New Roman"/>
          <w:color w:val="000000" w:themeColor="text1"/>
          <w:szCs w:val="24"/>
        </w:rPr>
        <w:t xml:space="preserve"> ved afståelse af ejendommen</w:t>
      </w:r>
      <w:r w:rsidR="00B6284D">
        <w:rPr>
          <w:rFonts w:cs="Times New Roman"/>
          <w:color w:val="000000" w:themeColor="text1"/>
          <w:szCs w:val="24"/>
        </w:rPr>
        <w:t>.</w:t>
      </w:r>
      <w:r w:rsidRPr="00815B3E">
        <w:rPr>
          <w:rFonts w:cs="Times New Roman"/>
          <w:color w:val="000000" w:themeColor="text1"/>
          <w:szCs w:val="24"/>
        </w:rPr>
        <w:t xml:space="preserve">  </w:t>
      </w:r>
    </w:p>
    <w:p w14:paraId="4319C453" w14:textId="6018A966" w:rsidR="00223DF9" w:rsidRPr="00815B3E" w:rsidRDefault="00A313D5" w:rsidP="00673631">
      <w:pPr>
        <w:spacing w:after="240"/>
        <w:rPr>
          <w:rFonts w:eastAsia="Calibri" w:cs="Times New Roman"/>
          <w:bCs/>
          <w:color w:val="000000" w:themeColor="text1"/>
          <w:szCs w:val="24"/>
        </w:rPr>
      </w:pPr>
      <w:r w:rsidRPr="00815B3E">
        <w:rPr>
          <w:rFonts w:cs="Times New Roman"/>
          <w:color w:val="000000" w:themeColor="text1"/>
          <w:szCs w:val="24"/>
        </w:rPr>
        <w:t>Det f</w:t>
      </w:r>
      <w:r w:rsidR="00223DF9" w:rsidRPr="00815B3E">
        <w:rPr>
          <w:rFonts w:cs="Times New Roman"/>
          <w:color w:val="000000" w:themeColor="text1"/>
          <w:szCs w:val="24"/>
        </w:rPr>
        <w:t xml:space="preserve">oreslås </w:t>
      </w:r>
      <w:r w:rsidRPr="00815B3E">
        <w:rPr>
          <w:rFonts w:cs="Times New Roman"/>
          <w:color w:val="000000" w:themeColor="text1"/>
          <w:szCs w:val="24"/>
        </w:rPr>
        <w:t>med lovforslaget</w:t>
      </w:r>
      <w:r w:rsidR="00223DF9" w:rsidRPr="00815B3E">
        <w:rPr>
          <w:rFonts w:cs="Times New Roman"/>
          <w:color w:val="000000" w:themeColor="text1"/>
          <w:szCs w:val="24"/>
        </w:rPr>
        <w:t xml:space="preserve">, at </w:t>
      </w:r>
      <w:r w:rsidR="00B6284D">
        <w:rPr>
          <w:rFonts w:cs="Times New Roman"/>
          <w:color w:val="000000" w:themeColor="text1"/>
          <w:szCs w:val="24"/>
        </w:rPr>
        <w:t xml:space="preserve">der for visse ejendomme indføres en beskatning baseret på et </w:t>
      </w:r>
      <w:r w:rsidR="00223DF9" w:rsidRPr="00815B3E">
        <w:rPr>
          <w:rFonts w:cs="Times New Roman"/>
          <w:color w:val="000000" w:themeColor="text1"/>
          <w:szCs w:val="24"/>
        </w:rPr>
        <w:t xml:space="preserve">lagerbeskatningsprincip, hvorefter </w:t>
      </w:r>
      <w:proofErr w:type="spellStart"/>
      <w:r w:rsidRPr="00815B3E">
        <w:rPr>
          <w:rFonts w:cs="Times New Roman"/>
          <w:color w:val="000000" w:themeColor="text1"/>
          <w:szCs w:val="24"/>
        </w:rPr>
        <w:t>urealiseret</w:t>
      </w:r>
      <w:proofErr w:type="spellEnd"/>
      <w:r w:rsidRPr="00815B3E">
        <w:rPr>
          <w:rFonts w:cs="Times New Roman"/>
          <w:color w:val="000000" w:themeColor="text1"/>
          <w:szCs w:val="24"/>
        </w:rPr>
        <w:t xml:space="preserve"> </w:t>
      </w:r>
      <w:r w:rsidR="00223DF9" w:rsidRPr="00815B3E">
        <w:rPr>
          <w:rFonts w:eastAsia="Calibri" w:cs="Times New Roman"/>
          <w:bCs/>
          <w:color w:val="000000" w:themeColor="text1"/>
          <w:szCs w:val="24"/>
        </w:rPr>
        <w:t xml:space="preserve">fortjeneste og tab på en fast ejendom opgøres </w:t>
      </w:r>
      <w:r w:rsidRPr="00815B3E">
        <w:rPr>
          <w:rFonts w:eastAsia="Calibri" w:cs="Times New Roman"/>
          <w:bCs/>
          <w:color w:val="000000" w:themeColor="text1"/>
          <w:szCs w:val="24"/>
        </w:rPr>
        <w:t>løbende</w:t>
      </w:r>
      <w:r w:rsidR="00261FD4" w:rsidRPr="00815B3E">
        <w:rPr>
          <w:rFonts w:eastAsia="Calibri" w:cs="Times New Roman"/>
          <w:bCs/>
          <w:color w:val="000000" w:themeColor="text1"/>
          <w:szCs w:val="24"/>
        </w:rPr>
        <w:t xml:space="preserve"> i forhold til værdistigninger og -fald i ejendommens handelsværdi</w:t>
      </w:r>
      <w:r w:rsidR="000A73FF" w:rsidRPr="00815B3E">
        <w:rPr>
          <w:rFonts w:eastAsia="Calibri" w:cs="Times New Roman"/>
          <w:bCs/>
          <w:color w:val="000000" w:themeColor="text1"/>
          <w:szCs w:val="24"/>
        </w:rPr>
        <w:t>, hvis en række betingelser er opfyldt</w:t>
      </w:r>
      <w:r w:rsidR="00223DF9" w:rsidRPr="00815B3E">
        <w:rPr>
          <w:rFonts w:eastAsia="Calibri" w:cs="Times New Roman"/>
          <w:bCs/>
          <w:color w:val="000000" w:themeColor="text1"/>
          <w:szCs w:val="24"/>
        </w:rPr>
        <w:t>.</w:t>
      </w:r>
    </w:p>
    <w:p w14:paraId="1CAFA749" w14:textId="07A8E153" w:rsidR="00223DF9" w:rsidRPr="00815B3E" w:rsidRDefault="00261FD4" w:rsidP="00673631">
      <w:pPr>
        <w:spacing w:after="240"/>
        <w:rPr>
          <w:rFonts w:cs="Times New Roman"/>
          <w:bCs/>
          <w:color w:val="000000" w:themeColor="text1"/>
          <w:szCs w:val="24"/>
        </w:rPr>
      </w:pPr>
      <w:r w:rsidRPr="00815B3E">
        <w:rPr>
          <w:rFonts w:eastAsia="Calibri" w:cs="Times New Roman"/>
          <w:bCs/>
          <w:color w:val="000000" w:themeColor="text1"/>
          <w:szCs w:val="24"/>
        </w:rPr>
        <w:t>På den baggrund foreslås det</w:t>
      </w:r>
      <w:r w:rsidR="00223DF9" w:rsidRPr="00815B3E">
        <w:rPr>
          <w:rFonts w:eastAsia="Calibri" w:cs="Times New Roman"/>
          <w:bCs/>
          <w:color w:val="000000" w:themeColor="text1"/>
          <w:szCs w:val="24"/>
        </w:rPr>
        <w:t xml:space="preserve">, at </w:t>
      </w:r>
      <w:r w:rsidR="00223DF9" w:rsidRPr="00815B3E">
        <w:rPr>
          <w:rFonts w:cs="Times New Roman"/>
          <w:bCs/>
          <w:i/>
          <w:iCs/>
          <w:color w:val="000000" w:themeColor="text1"/>
          <w:szCs w:val="24"/>
        </w:rPr>
        <w:t>lovens titel</w:t>
      </w:r>
      <w:r w:rsidR="00223DF9" w:rsidRPr="00815B3E">
        <w:rPr>
          <w:rFonts w:cs="Times New Roman"/>
          <w:bCs/>
          <w:color w:val="000000" w:themeColor="text1"/>
          <w:szCs w:val="24"/>
        </w:rPr>
        <w:t xml:space="preserve"> ændres</w:t>
      </w:r>
      <w:r w:rsidR="00223DF9" w:rsidRPr="00815B3E">
        <w:rPr>
          <w:rFonts w:cs="Times New Roman"/>
          <w:b/>
          <w:color w:val="000000" w:themeColor="text1"/>
          <w:szCs w:val="24"/>
        </w:rPr>
        <w:t xml:space="preserve"> </w:t>
      </w:r>
      <w:r w:rsidR="00223DF9" w:rsidRPr="00815B3E">
        <w:rPr>
          <w:rFonts w:cs="Times New Roman"/>
          <w:bCs/>
          <w:color w:val="000000" w:themeColor="text1"/>
          <w:szCs w:val="24"/>
        </w:rPr>
        <w:t>fra</w:t>
      </w:r>
      <w:r w:rsidR="00223DF9" w:rsidRPr="00815B3E">
        <w:rPr>
          <w:rFonts w:cs="Times New Roman"/>
          <w:b/>
          <w:color w:val="000000" w:themeColor="text1"/>
          <w:szCs w:val="24"/>
        </w:rPr>
        <w:t xml:space="preserve"> ”</w:t>
      </w:r>
      <w:r w:rsidR="00223DF9" w:rsidRPr="00815B3E">
        <w:rPr>
          <w:rFonts w:cs="Times New Roman"/>
          <w:bCs/>
          <w:color w:val="000000" w:themeColor="text1"/>
          <w:szCs w:val="24"/>
        </w:rPr>
        <w:t>lov om beskatning af fortjeneste ved afståelse af fast ejendom” til ”lov om beskatning af fortjeneste på fast ejendom</w:t>
      </w:r>
      <w:r w:rsidR="007C3A04">
        <w:rPr>
          <w:rFonts w:cs="Times New Roman"/>
          <w:bCs/>
          <w:color w:val="000000" w:themeColor="text1"/>
          <w:szCs w:val="24"/>
        </w:rPr>
        <w:t xml:space="preserve"> (ejendomsavancebeskatningsloven)</w:t>
      </w:r>
      <w:r w:rsidR="00223DF9" w:rsidRPr="00815B3E">
        <w:rPr>
          <w:rFonts w:cs="Times New Roman"/>
          <w:bCs/>
          <w:color w:val="000000" w:themeColor="text1"/>
          <w:szCs w:val="24"/>
        </w:rPr>
        <w:t>”.</w:t>
      </w:r>
    </w:p>
    <w:p w14:paraId="423C2EFC" w14:textId="77777777" w:rsidR="007C3A04" w:rsidRDefault="00A313D5" w:rsidP="00673631">
      <w:pPr>
        <w:spacing w:after="240"/>
        <w:rPr>
          <w:rFonts w:cs="Times New Roman"/>
          <w:bCs/>
          <w:color w:val="000000" w:themeColor="text1"/>
          <w:szCs w:val="24"/>
        </w:rPr>
      </w:pPr>
      <w:r w:rsidRPr="00815B3E">
        <w:rPr>
          <w:rFonts w:cs="Times New Roman"/>
          <w:bCs/>
          <w:color w:val="000000" w:themeColor="text1"/>
          <w:szCs w:val="24"/>
        </w:rPr>
        <w:t xml:space="preserve">Formålet er at præcisere i lovens titel, at loven ikke kun gælder ved ”afståelse”, idet der efter lovforslaget i visse tilfælde også kan indtræde beskatning af en </w:t>
      </w:r>
      <w:proofErr w:type="spellStart"/>
      <w:r w:rsidRPr="00815B3E">
        <w:rPr>
          <w:rFonts w:cs="Times New Roman"/>
          <w:bCs/>
          <w:color w:val="000000" w:themeColor="text1"/>
          <w:szCs w:val="24"/>
        </w:rPr>
        <w:t>urealiseret</w:t>
      </w:r>
      <w:proofErr w:type="spellEnd"/>
      <w:r w:rsidRPr="00815B3E">
        <w:rPr>
          <w:rFonts w:cs="Times New Roman"/>
          <w:bCs/>
          <w:color w:val="000000" w:themeColor="text1"/>
          <w:szCs w:val="24"/>
        </w:rPr>
        <w:t xml:space="preserve"> værdistigning efter det foreslåede lagerprincip.</w:t>
      </w:r>
    </w:p>
    <w:p w14:paraId="3228B803" w14:textId="22F390FF" w:rsidR="00261FD4" w:rsidRPr="00815B3E" w:rsidRDefault="007C3A04" w:rsidP="00673631">
      <w:pPr>
        <w:spacing w:after="240"/>
        <w:rPr>
          <w:rFonts w:cs="Times New Roman"/>
          <w:color w:val="000000" w:themeColor="text1"/>
          <w:szCs w:val="24"/>
        </w:rPr>
      </w:pPr>
      <w:r>
        <w:rPr>
          <w:rFonts w:cs="Times New Roman"/>
          <w:bCs/>
          <w:color w:val="000000" w:themeColor="text1"/>
          <w:szCs w:val="24"/>
        </w:rPr>
        <w:t xml:space="preserve">Forslaget om ændret titel indebærer endvidere, at loven får en forkortet titel ”Ejendomsavancebeskatningsloven”. Det er </w:t>
      </w:r>
      <w:r w:rsidRPr="007C3A04">
        <w:rPr>
          <w:rFonts w:cs="Times New Roman"/>
          <w:bCs/>
          <w:color w:val="000000" w:themeColor="text1"/>
          <w:szCs w:val="24"/>
        </w:rPr>
        <w:t>den titel, loven i forvejen er kendt under</w:t>
      </w:r>
      <w:r>
        <w:rPr>
          <w:rFonts w:cs="Times New Roman"/>
          <w:bCs/>
          <w:color w:val="000000" w:themeColor="text1"/>
          <w:szCs w:val="24"/>
        </w:rPr>
        <w:t xml:space="preserve">, og som anvendes i </w:t>
      </w:r>
      <w:r w:rsidR="00E35A5B">
        <w:rPr>
          <w:rFonts w:cs="Times New Roman"/>
          <w:bCs/>
          <w:color w:val="000000" w:themeColor="text1"/>
          <w:szCs w:val="24"/>
        </w:rPr>
        <w:t>praksis</w:t>
      </w:r>
      <w:r w:rsidRPr="007C3A04">
        <w:rPr>
          <w:rFonts w:cs="Times New Roman"/>
          <w:bCs/>
          <w:color w:val="000000" w:themeColor="text1"/>
          <w:szCs w:val="24"/>
        </w:rPr>
        <w:t xml:space="preserve">. </w:t>
      </w:r>
    </w:p>
    <w:p w14:paraId="4D6E4A0C" w14:textId="135CEB25" w:rsidR="007C3A04" w:rsidRDefault="007C3A04" w:rsidP="00673631">
      <w:pPr>
        <w:spacing w:after="240"/>
        <w:rPr>
          <w:rFonts w:cs="Times New Roman"/>
          <w:color w:val="000000" w:themeColor="text1"/>
          <w:szCs w:val="24"/>
        </w:rPr>
      </w:pPr>
      <w:r w:rsidRPr="00815B3E">
        <w:rPr>
          <w:rFonts w:cs="Times New Roman"/>
          <w:color w:val="000000" w:themeColor="text1"/>
          <w:szCs w:val="24"/>
        </w:rPr>
        <w:t xml:space="preserve">Til nr. </w:t>
      </w:r>
      <w:r>
        <w:rPr>
          <w:rFonts w:cs="Times New Roman"/>
          <w:color w:val="000000" w:themeColor="text1"/>
          <w:szCs w:val="24"/>
        </w:rPr>
        <w:t>2</w:t>
      </w:r>
    </w:p>
    <w:p w14:paraId="2C563EF4" w14:textId="77777777" w:rsidR="00F95964" w:rsidRDefault="00F95964" w:rsidP="00F95964">
      <w:pPr>
        <w:spacing w:after="240"/>
        <w:rPr>
          <w:rFonts w:cs="Times New Roman"/>
          <w:color w:val="000000" w:themeColor="text1"/>
          <w:szCs w:val="24"/>
        </w:rPr>
      </w:pPr>
      <w:r>
        <w:rPr>
          <w:rFonts w:cs="Times New Roman"/>
          <w:color w:val="000000" w:themeColor="text1"/>
          <w:szCs w:val="24"/>
        </w:rPr>
        <w:t>Ejendomsavancebeskatningsloven har ikke kapitelinddeling.</w:t>
      </w:r>
    </w:p>
    <w:p w14:paraId="69568C50" w14:textId="42DD2266" w:rsidR="000A5884" w:rsidRPr="00815B3E" w:rsidRDefault="00F95964" w:rsidP="00673631">
      <w:pPr>
        <w:spacing w:after="240"/>
        <w:rPr>
          <w:rFonts w:cs="Times New Roman"/>
          <w:color w:val="000000" w:themeColor="text1"/>
          <w:szCs w:val="24"/>
        </w:rPr>
      </w:pPr>
      <w:proofErr w:type="spellStart"/>
      <w:r>
        <w:rPr>
          <w:rFonts w:cs="Times New Roman"/>
          <w:color w:val="000000" w:themeColor="text1"/>
          <w:szCs w:val="24"/>
        </w:rPr>
        <w:t>Det</w:t>
      </w:r>
      <w:r w:rsidR="00A313D5" w:rsidRPr="00815B3E">
        <w:rPr>
          <w:rFonts w:cs="Times New Roman"/>
          <w:color w:val="000000" w:themeColor="text1"/>
          <w:szCs w:val="24"/>
        </w:rPr>
        <w:t>e</w:t>
      </w:r>
      <w:proofErr w:type="spellEnd"/>
      <w:r w:rsidR="00A313D5" w:rsidRPr="00815B3E">
        <w:rPr>
          <w:rFonts w:cs="Times New Roman"/>
          <w:color w:val="000000" w:themeColor="text1"/>
          <w:szCs w:val="24"/>
        </w:rPr>
        <w:t xml:space="preserve"> </w:t>
      </w:r>
      <w:r w:rsidR="00223DF9" w:rsidRPr="00815B3E">
        <w:rPr>
          <w:rFonts w:cs="Times New Roman"/>
          <w:color w:val="000000" w:themeColor="text1"/>
          <w:szCs w:val="24"/>
        </w:rPr>
        <w:t xml:space="preserve">foreslås </w:t>
      </w:r>
      <w:r w:rsidR="00A313D5" w:rsidRPr="00815B3E">
        <w:rPr>
          <w:rFonts w:cs="Times New Roman"/>
          <w:color w:val="000000" w:themeColor="text1"/>
          <w:szCs w:val="24"/>
        </w:rPr>
        <w:t>at opdele ejendomsavancebeskatningsloven i</w:t>
      </w:r>
      <w:r w:rsidR="000A5884" w:rsidRPr="00815B3E">
        <w:rPr>
          <w:rFonts w:cs="Times New Roman"/>
          <w:color w:val="000000" w:themeColor="text1"/>
          <w:szCs w:val="24"/>
        </w:rPr>
        <w:t xml:space="preserve"> </w:t>
      </w:r>
      <w:r w:rsidR="00223DF9" w:rsidRPr="00815B3E">
        <w:rPr>
          <w:rFonts w:cs="Times New Roman"/>
          <w:i/>
          <w:iCs/>
          <w:color w:val="000000" w:themeColor="text1"/>
          <w:szCs w:val="24"/>
        </w:rPr>
        <w:t>kapitler</w:t>
      </w:r>
      <w:r w:rsidR="00223DF9" w:rsidRPr="00815B3E">
        <w:rPr>
          <w:rFonts w:cs="Times New Roman"/>
          <w:color w:val="000000" w:themeColor="text1"/>
          <w:szCs w:val="24"/>
        </w:rPr>
        <w:t xml:space="preserve"> for at gøre loven mere læsevenlig</w:t>
      </w:r>
      <w:r w:rsidR="00194252" w:rsidRPr="00815B3E">
        <w:rPr>
          <w:rFonts w:cs="Times New Roman"/>
          <w:color w:val="000000" w:themeColor="text1"/>
          <w:szCs w:val="24"/>
        </w:rPr>
        <w:t>, så</w:t>
      </w:r>
      <w:r w:rsidR="00633821">
        <w:rPr>
          <w:rFonts w:cs="Times New Roman"/>
          <w:color w:val="000000" w:themeColor="text1"/>
          <w:szCs w:val="24"/>
        </w:rPr>
        <w:t>ledes at</w:t>
      </w:r>
      <w:r w:rsidR="00194252" w:rsidRPr="00815B3E">
        <w:rPr>
          <w:rFonts w:cs="Times New Roman"/>
          <w:color w:val="000000" w:themeColor="text1"/>
          <w:szCs w:val="24"/>
        </w:rPr>
        <w:t xml:space="preserve"> det er tydeligt, at der </w:t>
      </w:r>
      <w:r w:rsidR="000A5884" w:rsidRPr="00815B3E">
        <w:rPr>
          <w:rFonts w:cs="Times New Roman"/>
          <w:color w:val="000000" w:themeColor="text1"/>
          <w:szCs w:val="24"/>
        </w:rPr>
        <w:t xml:space="preserve">gælder </w:t>
      </w:r>
      <w:r w:rsidR="00194252" w:rsidRPr="00815B3E">
        <w:rPr>
          <w:rFonts w:cs="Times New Roman"/>
          <w:color w:val="000000" w:themeColor="text1"/>
          <w:szCs w:val="24"/>
        </w:rPr>
        <w:t xml:space="preserve">et realisationsprincip </w:t>
      </w:r>
      <w:r w:rsidR="000A5884" w:rsidRPr="00815B3E">
        <w:rPr>
          <w:rFonts w:cs="Times New Roman"/>
          <w:color w:val="000000" w:themeColor="text1"/>
          <w:szCs w:val="24"/>
        </w:rPr>
        <w:t xml:space="preserve">for nogle ejendomme (kapitel 2) og </w:t>
      </w:r>
      <w:r w:rsidR="00194252" w:rsidRPr="00815B3E">
        <w:rPr>
          <w:rFonts w:cs="Times New Roman"/>
          <w:color w:val="000000" w:themeColor="text1"/>
          <w:szCs w:val="24"/>
        </w:rPr>
        <w:t>et lagerprincip</w:t>
      </w:r>
      <w:r w:rsidR="000A5884" w:rsidRPr="00815B3E">
        <w:rPr>
          <w:rFonts w:cs="Times New Roman"/>
          <w:color w:val="000000" w:themeColor="text1"/>
          <w:szCs w:val="24"/>
        </w:rPr>
        <w:t xml:space="preserve"> for andre ejendomme (kapitel 3)</w:t>
      </w:r>
      <w:r w:rsidR="00194252" w:rsidRPr="00815B3E">
        <w:rPr>
          <w:rFonts w:cs="Times New Roman"/>
          <w:color w:val="000000" w:themeColor="text1"/>
          <w:szCs w:val="24"/>
        </w:rPr>
        <w:t>.</w:t>
      </w:r>
      <w:r w:rsidR="00223DF9" w:rsidRPr="00815B3E">
        <w:rPr>
          <w:rFonts w:cs="Times New Roman"/>
          <w:color w:val="000000" w:themeColor="text1"/>
          <w:szCs w:val="24"/>
        </w:rPr>
        <w:t xml:space="preserve"> </w:t>
      </w:r>
    </w:p>
    <w:p w14:paraId="28166C7B" w14:textId="2BA7EB94" w:rsidR="00261FD4" w:rsidRPr="00815B3E" w:rsidRDefault="00223DF9" w:rsidP="00673631">
      <w:pPr>
        <w:spacing w:after="240"/>
        <w:rPr>
          <w:rFonts w:cs="Times New Roman"/>
          <w:color w:val="000000" w:themeColor="text1"/>
          <w:szCs w:val="24"/>
        </w:rPr>
      </w:pPr>
      <w:r w:rsidRPr="00815B3E">
        <w:rPr>
          <w:rFonts w:cs="Times New Roman"/>
          <w:color w:val="000000" w:themeColor="text1"/>
          <w:szCs w:val="24"/>
        </w:rPr>
        <w:t>Det foreslås derfor at</w:t>
      </w:r>
      <w:r w:rsidR="000A5884" w:rsidRPr="00815B3E">
        <w:rPr>
          <w:rFonts w:cs="Times New Roman"/>
          <w:color w:val="000000" w:themeColor="text1"/>
          <w:szCs w:val="24"/>
        </w:rPr>
        <w:t xml:space="preserve"> </w:t>
      </w:r>
      <w:r w:rsidRPr="00815B3E">
        <w:rPr>
          <w:rFonts w:cs="Times New Roman"/>
          <w:color w:val="000000" w:themeColor="text1"/>
          <w:szCs w:val="24"/>
        </w:rPr>
        <w:t>indsætte en overskrift før</w:t>
      </w:r>
      <w:r w:rsidR="000A5884" w:rsidRPr="00815B3E">
        <w:rPr>
          <w:rFonts w:cs="Times New Roman"/>
          <w:color w:val="000000" w:themeColor="text1"/>
          <w:szCs w:val="24"/>
        </w:rPr>
        <w:t xml:space="preserve"> lovens</w:t>
      </w:r>
      <w:r w:rsidRPr="00815B3E">
        <w:rPr>
          <w:rFonts w:cs="Times New Roman"/>
          <w:color w:val="000000" w:themeColor="text1"/>
          <w:szCs w:val="24"/>
        </w:rPr>
        <w:t xml:space="preserve"> § 1, som lyder</w:t>
      </w:r>
      <w:r w:rsidR="000A5884" w:rsidRPr="00815B3E">
        <w:rPr>
          <w:rFonts w:cs="Times New Roman"/>
          <w:color w:val="000000" w:themeColor="text1"/>
          <w:szCs w:val="24"/>
        </w:rPr>
        <w:t>:</w:t>
      </w:r>
      <w:r w:rsidRPr="00815B3E">
        <w:rPr>
          <w:rFonts w:cs="Times New Roman"/>
          <w:color w:val="000000" w:themeColor="text1"/>
          <w:szCs w:val="24"/>
        </w:rPr>
        <w:t xml:space="preserve"> ”Kapitel 1. Lovens anvendelsesområde”</w:t>
      </w:r>
    </w:p>
    <w:p w14:paraId="72A9514D" w14:textId="387D7BD8" w:rsidR="00063EC8" w:rsidRPr="00815B3E" w:rsidRDefault="00063EC8" w:rsidP="00063EC8">
      <w:pPr>
        <w:spacing w:after="240"/>
        <w:rPr>
          <w:rFonts w:cs="Times New Roman"/>
          <w:color w:val="000000" w:themeColor="text1"/>
          <w:szCs w:val="24"/>
        </w:rPr>
      </w:pPr>
      <w:r w:rsidRPr="00815B3E">
        <w:rPr>
          <w:rFonts w:cs="Times New Roman"/>
          <w:color w:val="000000" w:themeColor="text1"/>
          <w:szCs w:val="24"/>
        </w:rPr>
        <w:t xml:space="preserve">De andre overskrifter, der foreslås indsat i ejendomsavancebeskatningsloven, følger af lovforslagets § </w:t>
      </w:r>
      <w:r w:rsidR="00676E9F">
        <w:rPr>
          <w:rFonts w:cs="Times New Roman"/>
          <w:color w:val="000000" w:themeColor="text1"/>
          <w:szCs w:val="24"/>
        </w:rPr>
        <w:t>1</w:t>
      </w:r>
      <w:r w:rsidRPr="00815B3E">
        <w:rPr>
          <w:rFonts w:cs="Times New Roman"/>
          <w:color w:val="000000" w:themeColor="text1"/>
          <w:szCs w:val="24"/>
        </w:rPr>
        <w:t xml:space="preserve">, nr. 4 og 5. </w:t>
      </w:r>
    </w:p>
    <w:p w14:paraId="0D807D16" w14:textId="4104F0AD" w:rsidR="000A5884" w:rsidRPr="00815B3E" w:rsidRDefault="00261FD4" w:rsidP="00673631">
      <w:pPr>
        <w:spacing w:after="240"/>
        <w:rPr>
          <w:rFonts w:cs="Times New Roman"/>
          <w:color w:val="000000" w:themeColor="text1"/>
          <w:szCs w:val="24"/>
        </w:rPr>
      </w:pPr>
      <w:r w:rsidRPr="00815B3E">
        <w:rPr>
          <w:rFonts w:cs="Times New Roman"/>
          <w:color w:val="000000" w:themeColor="text1"/>
          <w:szCs w:val="24"/>
        </w:rPr>
        <w:lastRenderedPageBreak/>
        <w:t xml:space="preserve">I lovforslagets § </w:t>
      </w:r>
      <w:r w:rsidR="00676E9F">
        <w:rPr>
          <w:rFonts w:cs="Times New Roman"/>
          <w:color w:val="000000" w:themeColor="text1"/>
          <w:szCs w:val="24"/>
        </w:rPr>
        <w:t>1</w:t>
      </w:r>
      <w:r w:rsidRPr="00815B3E">
        <w:rPr>
          <w:rFonts w:cs="Times New Roman"/>
          <w:color w:val="000000" w:themeColor="text1"/>
          <w:szCs w:val="24"/>
        </w:rPr>
        <w:t>, nr. 4 og 5, foreslås det endvidere at indsætte</w:t>
      </w:r>
      <w:r w:rsidR="000A5884" w:rsidRPr="00815B3E">
        <w:rPr>
          <w:rFonts w:cs="Times New Roman"/>
          <w:color w:val="000000" w:themeColor="text1"/>
          <w:szCs w:val="24"/>
        </w:rPr>
        <w:t xml:space="preserve"> en overskrift efter lovens § 1 A, der lyder: ”Kapitel 2. </w:t>
      </w:r>
      <w:r w:rsidR="009C3102" w:rsidRPr="00815B3E">
        <w:rPr>
          <w:rFonts w:cs="Times New Roman"/>
          <w:color w:val="000000" w:themeColor="text1"/>
          <w:szCs w:val="24"/>
        </w:rPr>
        <w:t>R</w:t>
      </w:r>
      <w:r w:rsidR="000A5884" w:rsidRPr="00815B3E">
        <w:rPr>
          <w:rFonts w:cs="Times New Roman"/>
          <w:color w:val="000000" w:themeColor="text1"/>
          <w:szCs w:val="24"/>
        </w:rPr>
        <w:t>ealisationsbeskattede ejendomme”, en overskrift efter lovens § 13, der lyder: ”Kapitel 3. Lagerbeskattede ejendomme” og en overskrift efter den foreslåede § 14 D i ejendomsavancebeskatningsloven, der lyder: ”Kapitel 4. Ikrafttrædelse m.v.”</w:t>
      </w:r>
      <w:r w:rsidR="00223DF9" w:rsidRPr="00815B3E">
        <w:rPr>
          <w:rFonts w:cs="Times New Roman"/>
          <w:color w:val="000000" w:themeColor="text1"/>
          <w:szCs w:val="24"/>
        </w:rPr>
        <w:t xml:space="preserve">. </w:t>
      </w:r>
    </w:p>
    <w:p w14:paraId="6B4E8E11" w14:textId="3E860746" w:rsidR="00223DF9" w:rsidRPr="00815B3E" w:rsidRDefault="00223DF9" w:rsidP="00673631">
      <w:pPr>
        <w:spacing w:after="240"/>
        <w:rPr>
          <w:rFonts w:cs="Times New Roman"/>
          <w:color w:val="000000" w:themeColor="text1"/>
          <w:szCs w:val="24"/>
        </w:rPr>
      </w:pPr>
      <w:r w:rsidRPr="00815B3E">
        <w:rPr>
          <w:rFonts w:cs="Times New Roman"/>
          <w:color w:val="000000" w:themeColor="text1"/>
          <w:szCs w:val="24"/>
        </w:rPr>
        <w:t>Til nr. 3</w:t>
      </w:r>
    </w:p>
    <w:p w14:paraId="4D9B0B66" w14:textId="3375E327" w:rsidR="002F6528" w:rsidRPr="00815B3E" w:rsidRDefault="002F6528" w:rsidP="002F6528">
      <w:pPr>
        <w:spacing w:after="240"/>
        <w:rPr>
          <w:rFonts w:cs="Times New Roman"/>
          <w:color w:val="000000" w:themeColor="text1"/>
          <w:szCs w:val="24"/>
        </w:rPr>
      </w:pPr>
      <w:r w:rsidRPr="00815B3E">
        <w:rPr>
          <w:rFonts w:cs="Times New Roman"/>
          <w:color w:val="000000" w:themeColor="text1"/>
          <w:szCs w:val="24"/>
        </w:rPr>
        <w:t>Efter ejendomsavancebeskatningsloven</w:t>
      </w:r>
      <w:r w:rsidR="009C3102" w:rsidRPr="00815B3E">
        <w:rPr>
          <w:rFonts w:cs="Times New Roman"/>
          <w:color w:val="000000" w:themeColor="text1"/>
          <w:szCs w:val="24"/>
        </w:rPr>
        <w:t>s</w:t>
      </w:r>
      <w:r w:rsidRPr="00815B3E">
        <w:rPr>
          <w:rFonts w:cs="Times New Roman"/>
          <w:color w:val="000000" w:themeColor="text1"/>
          <w:szCs w:val="24"/>
        </w:rPr>
        <w:t xml:space="preserve"> § 1 skal fortjeneste ved afståelse af fast ejendom medregnes til den skattepligtige indkomst. Det fremgår af </w:t>
      </w:r>
      <w:r w:rsidR="00261FD4" w:rsidRPr="00815B3E">
        <w:rPr>
          <w:rFonts w:cs="Times New Roman"/>
          <w:color w:val="000000" w:themeColor="text1"/>
          <w:szCs w:val="24"/>
        </w:rPr>
        <w:t xml:space="preserve">ejendomsavancebeskatningslovens § 1, </w:t>
      </w:r>
      <w:r w:rsidRPr="00815B3E">
        <w:rPr>
          <w:rFonts w:cs="Times New Roman"/>
          <w:color w:val="000000" w:themeColor="text1"/>
          <w:szCs w:val="24"/>
        </w:rPr>
        <w:t>stk. 2, at loven ikke gælder for fortjeneste eller tab ved afståelse af fast ejendom, der er erhvervet som led i den skattepligtiges næringsvej.</w:t>
      </w:r>
    </w:p>
    <w:p w14:paraId="412A4770" w14:textId="5C3F7BDC" w:rsidR="002F6528" w:rsidRPr="00815B3E" w:rsidRDefault="002F6528" w:rsidP="002F6528">
      <w:pPr>
        <w:spacing w:after="240"/>
        <w:rPr>
          <w:rFonts w:eastAsia="Calibri" w:cs="Times New Roman"/>
          <w:bCs/>
          <w:color w:val="000000" w:themeColor="text1"/>
          <w:szCs w:val="24"/>
        </w:rPr>
      </w:pPr>
      <w:r w:rsidRPr="00815B3E">
        <w:rPr>
          <w:rFonts w:eastAsia="Calibri" w:cs="Times New Roman"/>
          <w:bCs/>
          <w:color w:val="000000" w:themeColor="text1"/>
          <w:szCs w:val="24"/>
        </w:rPr>
        <w:t>Det foreslås at</w:t>
      </w:r>
      <w:r w:rsidR="00261FD4" w:rsidRPr="00815B3E">
        <w:rPr>
          <w:rFonts w:eastAsia="Calibri" w:cs="Times New Roman"/>
          <w:bCs/>
          <w:color w:val="000000" w:themeColor="text1"/>
          <w:szCs w:val="24"/>
        </w:rPr>
        <w:t xml:space="preserve"> </w:t>
      </w:r>
      <w:proofErr w:type="spellStart"/>
      <w:r w:rsidRPr="00255CB9">
        <w:rPr>
          <w:rFonts w:eastAsia="Calibri" w:cs="Times New Roman"/>
          <w:bCs/>
          <w:color w:val="000000" w:themeColor="text1"/>
          <w:szCs w:val="24"/>
        </w:rPr>
        <w:t>nyaffatte</w:t>
      </w:r>
      <w:proofErr w:type="spellEnd"/>
      <w:r w:rsidR="003458E6" w:rsidRPr="00255CB9">
        <w:rPr>
          <w:rFonts w:eastAsia="Calibri" w:cs="Times New Roman"/>
          <w:bCs/>
          <w:color w:val="000000" w:themeColor="text1"/>
          <w:szCs w:val="24"/>
        </w:rPr>
        <w:t xml:space="preserve"> ejendomsavancebeskatningslovens</w:t>
      </w:r>
      <w:r w:rsidR="003458E6" w:rsidRPr="00815B3E">
        <w:rPr>
          <w:rFonts w:eastAsia="Calibri" w:cs="Times New Roman"/>
          <w:bCs/>
          <w:i/>
          <w:iCs/>
          <w:color w:val="000000" w:themeColor="text1"/>
          <w:szCs w:val="24"/>
        </w:rPr>
        <w:t xml:space="preserve"> </w:t>
      </w:r>
      <w:r w:rsidR="003458E6" w:rsidRPr="00454F5E">
        <w:rPr>
          <w:rFonts w:eastAsia="Calibri" w:cs="Times New Roman"/>
          <w:bCs/>
          <w:i/>
          <w:iCs/>
          <w:color w:val="000000" w:themeColor="text1"/>
          <w:szCs w:val="24"/>
        </w:rPr>
        <w:t xml:space="preserve">§ </w:t>
      </w:r>
      <w:r w:rsidR="003458E6" w:rsidRPr="00255CB9">
        <w:rPr>
          <w:rFonts w:eastAsia="Calibri" w:cs="Times New Roman"/>
          <w:bCs/>
          <w:i/>
          <w:iCs/>
          <w:color w:val="000000" w:themeColor="text1"/>
          <w:szCs w:val="24"/>
        </w:rPr>
        <w:t>1</w:t>
      </w:r>
      <w:r w:rsidR="003458E6" w:rsidRPr="00815B3E">
        <w:rPr>
          <w:rFonts w:eastAsia="Calibri" w:cs="Times New Roman"/>
          <w:bCs/>
          <w:color w:val="000000" w:themeColor="text1"/>
          <w:szCs w:val="24"/>
        </w:rPr>
        <w:t xml:space="preserve"> om lovens anvendelsesområde</w:t>
      </w:r>
      <w:r w:rsidRPr="00815B3E">
        <w:rPr>
          <w:rFonts w:eastAsia="Calibri" w:cs="Times New Roman"/>
          <w:bCs/>
          <w:color w:val="000000" w:themeColor="text1"/>
          <w:szCs w:val="24"/>
        </w:rPr>
        <w:t>, så</w:t>
      </w:r>
      <w:r w:rsidR="000B593A" w:rsidRPr="00815B3E">
        <w:rPr>
          <w:rFonts w:eastAsia="Calibri" w:cs="Times New Roman"/>
          <w:bCs/>
          <w:color w:val="000000" w:themeColor="text1"/>
          <w:szCs w:val="24"/>
        </w:rPr>
        <w:t xml:space="preserve"> det fremgår,</w:t>
      </w:r>
      <w:r w:rsidRPr="00815B3E">
        <w:rPr>
          <w:rFonts w:eastAsia="Calibri" w:cs="Times New Roman"/>
          <w:bCs/>
          <w:color w:val="000000" w:themeColor="text1"/>
          <w:szCs w:val="24"/>
        </w:rPr>
        <w:t xml:space="preserve"> at fortjeneste på realisationsbeskattede ejendomme bortset fra ejendomme</w:t>
      </w:r>
      <w:r w:rsidR="000B593A" w:rsidRPr="00815B3E">
        <w:rPr>
          <w:rFonts w:eastAsia="Calibri" w:cs="Times New Roman"/>
          <w:bCs/>
          <w:color w:val="000000" w:themeColor="text1"/>
          <w:szCs w:val="24"/>
        </w:rPr>
        <w:t>,</w:t>
      </w:r>
      <w:r w:rsidRPr="00815B3E">
        <w:rPr>
          <w:rFonts w:eastAsia="Calibri" w:cs="Times New Roman"/>
          <w:bCs/>
          <w:color w:val="000000" w:themeColor="text1"/>
          <w:szCs w:val="24"/>
        </w:rPr>
        <w:t xml:space="preserve"> der er erhvervet som led i den skattepligtiges næringsvej, </w:t>
      </w:r>
      <w:r w:rsidR="00F95964">
        <w:rPr>
          <w:rFonts w:eastAsia="Calibri" w:cs="Times New Roman"/>
          <w:bCs/>
          <w:color w:val="000000" w:themeColor="text1"/>
          <w:szCs w:val="24"/>
        </w:rPr>
        <w:t xml:space="preserve">skal </w:t>
      </w:r>
      <w:r w:rsidRPr="00815B3E">
        <w:rPr>
          <w:rFonts w:eastAsia="Calibri" w:cs="Times New Roman"/>
          <w:bCs/>
          <w:color w:val="000000" w:themeColor="text1"/>
          <w:szCs w:val="24"/>
        </w:rPr>
        <w:t xml:space="preserve">medregnes til den skattepligtige indkomst efter reglerne i </w:t>
      </w:r>
      <w:r w:rsidR="000B593A" w:rsidRPr="00815B3E">
        <w:rPr>
          <w:rFonts w:eastAsia="Calibri" w:cs="Times New Roman"/>
          <w:bCs/>
          <w:color w:val="000000" w:themeColor="text1"/>
          <w:szCs w:val="24"/>
        </w:rPr>
        <w:t xml:space="preserve">lovens </w:t>
      </w:r>
      <w:r w:rsidRPr="00815B3E">
        <w:rPr>
          <w:rFonts w:eastAsia="Calibri" w:cs="Times New Roman"/>
          <w:bCs/>
          <w:color w:val="000000" w:themeColor="text1"/>
          <w:szCs w:val="24"/>
        </w:rPr>
        <w:t>kapitel 2</w:t>
      </w:r>
      <w:r w:rsidR="000B593A" w:rsidRPr="00815B3E">
        <w:rPr>
          <w:rFonts w:eastAsia="Calibri" w:cs="Times New Roman"/>
          <w:bCs/>
          <w:color w:val="000000" w:themeColor="text1"/>
          <w:szCs w:val="24"/>
        </w:rPr>
        <w:t xml:space="preserve">, og </w:t>
      </w:r>
      <w:r w:rsidRPr="00815B3E">
        <w:rPr>
          <w:color w:val="000000" w:themeColor="text1"/>
        </w:rPr>
        <w:t>at</w:t>
      </w:r>
      <w:r w:rsidRPr="00815B3E">
        <w:rPr>
          <w:rFonts w:eastAsia="Calibri" w:cs="Times New Roman"/>
          <w:bCs/>
          <w:color w:val="000000" w:themeColor="text1"/>
          <w:szCs w:val="24"/>
        </w:rPr>
        <w:t xml:space="preserve"> fortjeneste og tab på lagerbeskattede ejendomme </w:t>
      </w:r>
      <w:r w:rsidR="00F95964">
        <w:rPr>
          <w:rFonts w:eastAsia="Calibri" w:cs="Times New Roman"/>
          <w:bCs/>
          <w:color w:val="000000" w:themeColor="text1"/>
          <w:szCs w:val="24"/>
        </w:rPr>
        <w:t xml:space="preserve">skal </w:t>
      </w:r>
      <w:r w:rsidRPr="00815B3E">
        <w:rPr>
          <w:rFonts w:eastAsia="Calibri" w:cs="Times New Roman"/>
          <w:bCs/>
          <w:color w:val="000000" w:themeColor="text1"/>
          <w:szCs w:val="24"/>
        </w:rPr>
        <w:t>medregnes til den skattepligtige indkomst efter reglerne i kapitel 3.</w:t>
      </w:r>
      <w:r w:rsidR="000B593A" w:rsidRPr="00815B3E">
        <w:rPr>
          <w:rFonts w:eastAsia="Calibri" w:cs="Times New Roman"/>
          <w:bCs/>
          <w:color w:val="000000" w:themeColor="text1"/>
          <w:szCs w:val="24"/>
        </w:rPr>
        <w:t xml:space="preserve"> Det foreslås endvidere, at det anføres i bestemmelsen, at </w:t>
      </w:r>
      <w:r w:rsidR="00261FD4" w:rsidRPr="00815B3E">
        <w:rPr>
          <w:rFonts w:eastAsia="Calibri" w:cs="Times New Roman"/>
          <w:bCs/>
          <w:color w:val="000000" w:themeColor="text1"/>
          <w:szCs w:val="24"/>
        </w:rPr>
        <w:t>r</w:t>
      </w:r>
      <w:r w:rsidR="000B593A" w:rsidRPr="00815B3E">
        <w:rPr>
          <w:rFonts w:eastAsia="Calibri" w:cs="Times New Roman"/>
          <w:bCs/>
          <w:color w:val="000000" w:themeColor="text1"/>
          <w:szCs w:val="24"/>
        </w:rPr>
        <w:t xml:space="preserve">ealisationsbeskattede ejendomme er faste ejendomme, der ikke </w:t>
      </w:r>
      <w:r w:rsidR="00F95964">
        <w:rPr>
          <w:rFonts w:eastAsia="Calibri" w:cs="Times New Roman"/>
          <w:bCs/>
          <w:color w:val="000000" w:themeColor="text1"/>
          <w:szCs w:val="24"/>
        </w:rPr>
        <w:t xml:space="preserve">skal </w:t>
      </w:r>
      <w:r w:rsidR="000B593A" w:rsidRPr="00815B3E">
        <w:rPr>
          <w:rFonts w:eastAsia="Calibri" w:cs="Times New Roman"/>
          <w:bCs/>
          <w:color w:val="000000" w:themeColor="text1"/>
          <w:szCs w:val="24"/>
        </w:rPr>
        <w:t>lagerbeskattes.</w:t>
      </w:r>
    </w:p>
    <w:p w14:paraId="1FDA7F2B" w14:textId="7591E334" w:rsidR="003458E6" w:rsidRPr="00815B3E" w:rsidRDefault="003458E6" w:rsidP="002F6528">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Den foreslåede nye affattelse af ejendomsavancebeskatningslovens § 1 er en følge af forslaget om, at der </w:t>
      </w:r>
      <w:r w:rsidR="00F95964">
        <w:rPr>
          <w:rFonts w:eastAsia="Calibri" w:cs="Times New Roman"/>
          <w:bCs/>
          <w:color w:val="000000" w:themeColor="text1"/>
          <w:szCs w:val="24"/>
        </w:rPr>
        <w:t xml:space="preserve">foreslås </w:t>
      </w:r>
      <w:r w:rsidRPr="00815B3E">
        <w:rPr>
          <w:rFonts w:eastAsia="Calibri" w:cs="Times New Roman"/>
          <w:bCs/>
          <w:color w:val="000000" w:themeColor="text1"/>
          <w:szCs w:val="24"/>
        </w:rPr>
        <w:t>indfør</w:t>
      </w:r>
      <w:r w:rsidR="00F95964">
        <w:rPr>
          <w:rFonts w:eastAsia="Calibri" w:cs="Times New Roman"/>
          <w:bCs/>
          <w:color w:val="000000" w:themeColor="text1"/>
          <w:szCs w:val="24"/>
        </w:rPr>
        <w:t>t</w:t>
      </w:r>
      <w:r w:rsidRPr="00815B3E">
        <w:rPr>
          <w:rFonts w:eastAsia="Calibri" w:cs="Times New Roman"/>
          <w:bCs/>
          <w:color w:val="000000" w:themeColor="text1"/>
          <w:szCs w:val="24"/>
        </w:rPr>
        <w:t xml:space="preserve"> et lagerprincip ved opgørelsen </w:t>
      </w:r>
      <w:r w:rsidR="00F95964">
        <w:rPr>
          <w:rFonts w:eastAsia="Calibri" w:cs="Times New Roman"/>
          <w:bCs/>
          <w:color w:val="000000" w:themeColor="text1"/>
          <w:szCs w:val="24"/>
        </w:rPr>
        <w:t xml:space="preserve">af </w:t>
      </w:r>
      <w:r w:rsidRPr="00815B3E">
        <w:rPr>
          <w:rFonts w:eastAsia="Calibri" w:cs="Times New Roman"/>
          <w:bCs/>
          <w:color w:val="000000" w:themeColor="text1"/>
          <w:szCs w:val="24"/>
        </w:rPr>
        <w:t xml:space="preserve">fortjenesten for visse ejendomme. </w:t>
      </w:r>
      <w:r w:rsidR="00801B6A" w:rsidRPr="00815B3E">
        <w:rPr>
          <w:rFonts w:eastAsia="Calibri" w:cs="Times New Roman"/>
          <w:bCs/>
          <w:color w:val="000000" w:themeColor="text1"/>
          <w:szCs w:val="24"/>
        </w:rPr>
        <w:t>Den foreslåede bestemmelse i lovens § 1 opdeler således</w:t>
      </w:r>
      <w:r w:rsidR="00B6284D" w:rsidRPr="00B6284D">
        <w:rPr>
          <w:rFonts w:eastAsia="Calibri" w:cs="Times New Roman"/>
          <w:bCs/>
          <w:color w:val="000000" w:themeColor="text1"/>
          <w:szCs w:val="24"/>
        </w:rPr>
        <w:t xml:space="preserve"> </w:t>
      </w:r>
      <w:r w:rsidR="00B6284D">
        <w:rPr>
          <w:rFonts w:eastAsia="Calibri" w:cs="Times New Roman"/>
          <w:bCs/>
          <w:color w:val="000000" w:themeColor="text1"/>
          <w:szCs w:val="24"/>
        </w:rPr>
        <w:t xml:space="preserve">de af loven omfattede </w:t>
      </w:r>
      <w:r w:rsidR="00B6284D" w:rsidRPr="00AA527C">
        <w:rPr>
          <w:rFonts w:eastAsia="Calibri" w:cs="Times New Roman"/>
          <w:bCs/>
          <w:color w:val="000000" w:themeColor="text1"/>
          <w:szCs w:val="24"/>
        </w:rPr>
        <w:t xml:space="preserve">ejendomme i </w:t>
      </w:r>
      <w:r w:rsidR="00B6284D">
        <w:rPr>
          <w:rFonts w:eastAsia="Calibri" w:cs="Times New Roman"/>
          <w:bCs/>
          <w:color w:val="000000" w:themeColor="text1"/>
          <w:szCs w:val="24"/>
        </w:rPr>
        <w:t>henholdsvis</w:t>
      </w:r>
      <w:r w:rsidR="00801B6A" w:rsidRPr="00815B3E">
        <w:rPr>
          <w:rFonts w:eastAsia="Calibri" w:cs="Times New Roman"/>
          <w:bCs/>
          <w:color w:val="000000" w:themeColor="text1"/>
          <w:szCs w:val="24"/>
        </w:rPr>
        <w:t xml:space="preserve"> realisationsbeskattede ejendomme og lagerbeskattede ejendomme</w:t>
      </w:r>
      <w:r w:rsidR="00633821">
        <w:rPr>
          <w:rFonts w:eastAsia="Calibri" w:cs="Times New Roman"/>
          <w:bCs/>
          <w:color w:val="000000" w:themeColor="text1"/>
          <w:szCs w:val="24"/>
        </w:rPr>
        <w:t>, hvor realisationsbeskattede ejendomme er de ejendomme, der ikke omfattes af den foreslåede lagerbeskatning</w:t>
      </w:r>
      <w:r w:rsidR="00633821" w:rsidRPr="00815B3E">
        <w:rPr>
          <w:rFonts w:eastAsia="Calibri" w:cs="Times New Roman"/>
          <w:bCs/>
          <w:color w:val="000000" w:themeColor="text1"/>
          <w:szCs w:val="24"/>
        </w:rPr>
        <w:t>.</w:t>
      </w:r>
    </w:p>
    <w:p w14:paraId="559F8976" w14:textId="7FE05879" w:rsidR="002F6528" w:rsidRPr="00815B3E" w:rsidRDefault="00801B6A" w:rsidP="002F6528">
      <w:pPr>
        <w:spacing w:after="240"/>
        <w:rPr>
          <w:rFonts w:eastAsia="Calibri" w:cs="Times New Roman"/>
          <w:bCs/>
          <w:color w:val="000000" w:themeColor="text1"/>
          <w:szCs w:val="24"/>
        </w:rPr>
      </w:pPr>
      <w:r w:rsidRPr="00815B3E">
        <w:rPr>
          <w:rFonts w:eastAsia="Calibri" w:cs="Times New Roman"/>
          <w:bCs/>
          <w:color w:val="000000" w:themeColor="text1"/>
          <w:szCs w:val="24"/>
        </w:rPr>
        <w:t>Den foreslåede affattelse af ejendomsavancebeskatningslovens § 1 vil indebære, at ejendomme</w:t>
      </w:r>
      <w:r w:rsidR="00D143EB" w:rsidRPr="00815B3E">
        <w:rPr>
          <w:rFonts w:eastAsia="Calibri" w:cs="Times New Roman"/>
          <w:bCs/>
          <w:color w:val="000000" w:themeColor="text1"/>
          <w:szCs w:val="24"/>
        </w:rPr>
        <w:t>, der er erhvervet som et led i den skattepligtiges næringsvej,</w:t>
      </w:r>
      <w:r w:rsidRPr="00815B3E">
        <w:rPr>
          <w:rFonts w:eastAsia="Calibri" w:cs="Times New Roman"/>
          <w:bCs/>
          <w:color w:val="000000" w:themeColor="text1"/>
          <w:szCs w:val="24"/>
        </w:rPr>
        <w:t xml:space="preserve"> vil blive omfattet af den foreslåede lagerbeskatning, hvis betingelserne </w:t>
      </w:r>
      <w:r w:rsidR="00D245C4">
        <w:rPr>
          <w:rFonts w:eastAsia="Calibri" w:cs="Times New Roman"/>
          <w:bCs/>
          <w:color w:val="000000" w:themeColor="text1"/>
          <w:szCs w:val="24"/>
        </w:rPr>
        <w:t xml:space="preserve">for </w:t>
      </w:r>
      <w:r w:rsidRPr="00815B3E">
        <w:rPr>
          <w:rFonts w:eastAsia="Calibri" w:cs="Times New Roman"/>
          <w:bCs/>
          <w:color w:val="000000" w:themeColor="text1"/>
          <w:szCs w:val="24"/>
        </w:rPr>
        <w:t>lagerbeskatning i det foreslåede kapitel 3 i ejendomsavancebeskatningsloven er opfyldt</w:t>
      </w:r>
      <w:r w:rsidR="00C03512" w:rsidRPr="00815B3E">
        <w:rPr>
          <w:rFonts w:eastAsia="Calibri" w:cs="Times New Roman"/>
          <w:bCs/>
          <w:color w:val="000000" w:themeColor="text1"/>
          <w:szCs w:val="24"/>
        </w:rPr>
        <w:t xml:space="preserve">.   </w:t>
      </w:r>
    </w:p>
    <w:p w14:paraId="6676675A" w14:textId="48DC1C19" w:rsidR="00D143EB" w:rsidRPr="00815B3E" w:rsidRDefault="00D143EB" w:rsidP="002F6528">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Derimod vil fortjeneste og tab på sådanne næringsejendomme, som ikke skal lagerbeskattes efter forslaget, fortsat skulle opgøres efter reglerne i statsskatteloven. </w:t>
      </w:r>
    </w:p>
    <w:p w14:paraId="6C04C356" w14:textId="15F13E82" w:rsidR="00223DF9" w:rsidRPr="00815B3E" w:rsidRDefault="00223DF9" w:rsidP="00673631">
      <w:pPr>
        <w:spacing w:after="240"/>
        <w:rPr>
          <w:rFonts w:cs="Times New Roman"/>
          <w:color w:val="000000" w:themeColor="text1"/>
          <w:szCs w:val="24"/>
        </w:rPr>
      </w:pPr>
      <w:r w:rsidRPr="00815B3E">
        <w:rPr>
          <w:rFonts w:cs="Times New Roman"/>
          <w:color w:val="000000" w:themeColor="text1"/>
          <w:szCs w:val="24"/>
        </w:rPr>
        <w:t>Til nr. 4</w:t>
      </w:r>
    </w:p>
    <w:p w14:paraId="47775BB7" w14:textId="77777777" w:rsidR="00F95964" w:rsidRDefault="00F95964" w:rsidP="00F95964">
      <w:pPr>
        <w:spacing w:after="240"/>
        <w:rPr>
          <w:rFonts w:cs="Times New Roman"/>
          <w:color w:val="000000" w:themeColor="text1"/>
          <w:szCs w:val="24"/>
        </w:rPr>
      </w:pPr>
      <w:bookmarkStart w:id="639" w:name="_Hlk106784110"/>
      <w:r>
        <w:rPr>
          <w:rFonts w:cs="Times New Roman"/>
          <w:color w:val="000000" w:themeColor="text1"/>
          <w:szCs w:val="24"/>
        </w:rPr>
        <w:t>Ejendomsavancebeskatningsloven har ikke kapitelinddeling.</w:t>
      </w:r>
    </w:p>
    <w:bookmarkEnd w:id="639"/>
    <w:p w14:paraId="1CF79474" w14:textId="3ACC7B18" w:rsidR="00194252" w:rsidRPr="00815B3E" w:rsidRDefault="00194252" w:rsidP="00673631">
      <w:pPr>
        <w:spacing w:after="240"/>
        <w:rPr>
          <w:rFonts w:cs="Times New Roman"/>
          <w:color w:val="000000" w:themeColor="text1"/>
          <w:szCs w:val="24"/>
        </w:rPr>
      </w:pPr>
      <w:r w:rsidRPr="00815B3E">
        <w:rPr>
          <w:rFonts w:cs="Times New Roman"/>
          <w:color w:val="000000" w:themeColor="text1"/>
          <w:szCs w:val="24"/>
        </w:rPr>
        <w:lastRenderedPageBreak/>
        <w:t xml:space="preserve">Det foreslås, at der indsættes en </w:t>
      </w:r>
      <w:r w:rsidRPr="00255CB9">
        <w:rPr>
          <w:rFonts w:cs="Times New Roman"/>
          <w:color w:val="000000" w:themeColor="text1"/>
          <w:szCs w:val="24"/>
        </w:rPr>
        <w:t xml:space="preserve">overskrift efter </w:t>
      </w:r>
      <w:r w:rsidR="00D143EB" w:rsidRPr="00255CB9">
        <w:rPr>
          <w:rFonts w:cs="Times New Roman"/>
          <w:color w:val="000000" w:themeColor="text1"/>
          <w:szCs w:val="24"/>
        </w:rPr>
        <w:t>ejendomsavancebeskatningslovens</w:t>
      </w:r>
      <w:r w:rsidR="00D143EB" w:rsidRPr="00815B3E">
        <w:rPr>
          <w:rFonts w:cs="Times New Roman"/>
          <w:i/>
          <w:iCs/>
          <w:color w:val="000000" w:themeColor="text1"/>
          <w:szCs w:val="24"/>
        </w:rPr>
        <w:t xml:space="preserve"> </w:t>
      </w:r>
      <w:r w:rsidRPr="00815B3E">
        <w:rPr>
          <w:rFonts w:cs="Times New Roman"/>
          <w:i/>
          <w:iCs/>
          <w:color w:val="000000" w:themeColor="text1"/>
          <w:szCs w:val="24"/>
        </w:rPr>
        <w:t>§ 1 A</w:t>
      </w:r>
      <w:r w:rsidRPr="00815B3E">
        <w:rPr>
          <w:rFonts w:cs="Times New Roman"/>
          <w:color w:val="000000" w:themeColor="text1"/>
          <w:szCs w:val="24"/>
        </w:rPr>
        <w:t>, som lyder</w:t>
      </w:r>
      <w:r w:rsidR="00801B6A" w:rsidRPr="00815B3E">
        <w:rPr>
          <w:rFonts w:cs="Times New Roman"/>
          <w:color w:val="000000" w:themeColor="text1"/>
          <w:szCs w:val="24"/>
        </w:rPr>
        <w:t>:</w:t>
      </w:r>
      <w:r w:rsidRPr="00815B3E">
        <w:rPr>
          <w:rFonts w:cs="Times New Roman"/>
          <w:color w:val="000000" w:themeColor="text1"/>
          <w:szCs w:val="24"/>
        </w:rPr>
        <w:t xml:space="preserve"> ”Kapitel 2. </w:t>
      </w:r>
      <w:r w:rsidR="009C3102" w:rsidRPr="00815B3E">
        <w:rPr>
          <w:rFonts w:cs="Times New Roman"/>
          <w:color w:val="000000" w:themeColor="text1"/>
          <w:szCs w:val="24"/>
        </w:rPr>
        <w:t>R</w:t>
      </w:r>
      <w:r w:rsidRPr="00815B3E">
        <w:rPr>
          <w:rFonts w:cs="Times New Roman"/>
          <w:color w:val="000000" w:themeColor="text1"/>
          <w:szCs w:val="24"/>
        </w:rPr>
        <w:t xml:space="preserve">ealisationsbeskattede ejendomme”. </w:t>
      </w:r>
    </w:p>
    <w:p w14:paraId="4CFE5C83" w14:textId="3CA9F959" w:rsidR="00801B6A" w:rsidRPr="00815B3E" w:rsidRDefault="00801B6A" w:rsidP="00673631">
      <w:pPr>
        <w:spacing w:after="240"/>
        <w:rPr>
          <w:rFonts w:cs="Times New Roman"/>
          <w:color w:val="000000" w:themeColor="text1"/>
          <w:szCs w:val="24"/>
        </w:rPr>
      </w:pPr>
      <w:r w:rsidRPr="00815B3E">
        <w:rPr>
          <w:rFonts w:cs="Times New Roman"/>
          <w:color w:val="000000" w:themeColor="text1"/>
          <w:szCs w:val="24"/>
        </w:rPr>
        <w:t>Det</w:t>
      </w:r>
      <w:r w:rsidR="0091132B" w:rsidRPr="00815B3E">
        <w:rPr>
          <w:rFonts w:cs="Times New Roman"/>
          <w:color w:val="000000" w:themeColor="text1"/>
          <w:szCs w:val="24"/>
        </w:rPr>
        <w:t xml:space="preserve"> foreslåede</w:t>
      </w:r>
      <w:r w:rsidRPr="00815B3E">
        <w:rPr>
          <w:rFonts w:cs="Times New Roman"/>
          <w:color w:val="000000" w:themeColor="text1"/>
          <w:szCs w:val="24"/>
        </w:rPr>
        <w:t xml:space="preserve"> kapitel</w:t>
      </w:r>
      <w:r w:rsidR="0091132B" w:rsidRPr="00815B3E">
        <w:rPr>
          <w:rFonts w:cs="Times New Roman"/>
          <w:color w:val="000000" w:themeColor="text1"/>
          <w:szCs w:val="24"/>
        </w:rPr>
        <w:t xml:space="preserve"> 2</w:t>
      </w:r>
      <w:r w:rsidRPr="00815B3E">
        <w:rPr>
          <w:rFonts w:cs="Times New Roman"/>
          <w:color w:val="000000" w:themeColor="text1"/>
          <w:szCs w:val="24"/>
        </w:rPr>
        <w:t xml:space="preserve"> vil </w:t>
      </w:r>
      <w:r w:rsidR="0091132B" w:rsidRPr="00815B3E">
        <w:rPr>
          <w:rFonts w:cs="Times New Roman"/>
          <w:color w:val="000000" w:themeColor="text1"/>
          <w:szCs w:val="24"/>
        </w:rPr>
        <w:t xml:space="preserve">uændret </w:t>
      </w:r>
      <w:r w:rsidRPr="00815B3E">
        <w:rPr>
          <w:rFonts w:cs="Times New Roman"/>
          <w:color w:val="000000" w:themeColor="text1"/>
          <w:szCs w:val="24"/>
        </w:rPr>
        <w:t xml:space="preserve">indeholde de gældende regler om </w:t>
      </w:r>
      <w:r w:rsidR="0091132B" w:rsidRPr="00815B3E">
        <w:rPr>
          <w:rFonts w:cs="Times New Roman"/>
          <w:color w:val="000000" w:themeColor="text1"/>
          <w:szCs w:val="24"/>
        </w:rPr>
        <w:t>beskatning af fortjeneste på ejendomme efter et realisationsprincip.</w:t>
      </w:r>
    </w:p>
    <w:p w14:paraId="744F7F9E" w14:textId="77777777" w:rsidR="00F8508C" w:rsidRDefault="00F8508C" w:rsidP="00673631">
      <w:pPr>
        <w:spacing w:after="240"/>
        <w:rPr>
          <w:rFonts w:cs="Times New Roman"/>
          <w:color w:val="000000" w:themeColor="text1"/>
          <w:szCs w:val="24"/>
        </w:rPr>
      </w:pPr>
    </w:p>
    <w:p w14:paraId="29618303" w14:textId="1A8F8940" w:rsidR="00F8508C" w:rsidRDefault="00F8508C" w:rsidP="00673631">
      <w:pPr>
        <w:spacing w:after="240"/>
        <w:rPr>
          <w:rFonts w:cs="Times New Roman"/>
          <w:color w:val="000000" w:themeColor="text1"/>
          <w:szCs w:val="24"/>
        </w:rPr>
      </w:pPr>
      <w:r>
        <w:rPr>
          <w:rFonts w:cs="Times New Roman"/>
          <w:color w:val="000000" w:themeColor="text1"/>
          <w:szCs w:val="24"/>
        </w:rPr>
        <w:t>Til nr. 5</w:t>
      </w:r>
    </w:p>
    <w:p w14:paraId="76137576" w14:textId="77777777" w:rsidR="00F8508C" w:rsidRDefault="00F8508C" w:rsidP="00F8508C">
      <w:pPr>
        <w:rPr>
          <w:rFonts w:eastAsia="Calibri" w:cs="Times New Roman"/>
          <w:color w:val="000000" w:themeColor="text1"/>
          <w:szCs w:val="24"/>
        </w:rPr>
      </w:pPr>
      <w:r>
        <w:rPr>
          <w:rFonts w:eastAsia="Calibri" w:cs="Times New Roman"/>
          <w:color w:val="000000" w:themeColor="text1"/>
          <w:szCs w:val="24"/>
        </w:rPr>
        <w:t xml:space="preserve">Det er i ejendomsavancebeskatningslovens § 6 D, stk. 12 fastsat, at for personer afdrages henstandsbeløbet i de resterende år af den periode, som beskatningen er valgt fordelt over. Afdraget opgøres som skatteværdien af den fortjeneste, som skulle have været medregnet i det pågældende indkomstår. Skatteværdien beregnes efter reglerne for skattepligtige med fast driftssted i Danmark. Den resterende henstandssaldo forfalder dog helt eller delvis til betaling senest i de tilfælde, der er omfattet af stk. 3, nr. 1-3. Reglerne i kildeskattelovens § 73 B, stk. 7 og 8, finder tilsvarende anvendelse med hensyn til fristen for betaling af afdrag og forrentning af henstandssaldoen. </w:t>
      </w:r>
    </w:p>
    <w:p w14:paraId="638E2354" w14:textId="77777777" w:rsidR="00F8508C" w:rsidRDefault="00F8508C" w:rsidP="00F8508C">
      <w:pPr>
        <w:rPr>
          <w:rFonts w:eastAsia="Calibri" w:cs="Times New Roman"/>
          <w:color w:val="000000" w:themeColor="text1"/>
          <w:szCs w:val="24"/>
        </w:rPr>
      </w:pPr>
    </w:p>
    <w:p w14:paraId="5EEE4A45" w14:textId="77777777" w:rsidR="00F8508C" w:rsidRDefault="00F8508C" w:rsidP="00F8508C">
      <w:pPr>
        <w:rPr>
          <w:rFonts w:eastAsia="Calibri" w:cs="Times New Roman"/>
          <w:color w:val="000000" w:themeColor="text1"/>
          <w:szCs w:val="24"/>
        </w:rPr>
      </w:pPr>
      <w:r>
        <w:rPr>
          <w:rFonts w:eastAsia="Calibri" w:cs="Times New Roman"/>
          <w:color w:val="000000" w:themeColor="text1"/>
          <w:szCs w:val="24"/>
        </w:rPr>
        <w:t xml:space="preserve">Det følger af den foreslåede ændring af ejendomsavancebeskatningslovens </w:t>
      </w:r>
      <w:r w:rsidRPr="009074FB">
        <w:rPr>
          <w:rFonts w:eastAsia="Calibri" w:cs="Times New Roman"/>
          <w:i/>
          <w:iCs/>
          <w:color w:val="000000" w:themeColor="text1"/>
          <w:szCs w:val="24"/>
        </w:rPr>
        <w:t>§ 6 D, stk. 12, 5. pkt</w:t>
      </w:r>
      <w:r>
        <w:rPr>
          <w:rFonts w:eastAsia="Calibri" w:cs="Times New Roman"/>
          <w:color w:val="000000" w:themeColor="text1"/>
          <w:szCs w:val="24"/>
        </w:rPr>
        <w:t xml:space="preserve">., at henvisningen til » kildeskattelovens § 73 B, stk. 7 og 8« ændres til »kildeskattelovens § 73 C, stk. 7 og 8«. </w:t>
      </w:r>
    </w:p>
    <w:p w14:paraId="76A42376" w14:textId="77777777" w:rsidR="00F8508C" w:rsidRDefault="00F8508C" w:rsidP="00F8508C">
      <w:pPr>
        <w:rPr>
          <w:rFonts w:eastAsia="Calibri" w:cs="Times New Roman"/>
          <w:color w:val="000000" w:themeColor="text1"/>
          <w:szCs w:val="24"/>
        </w:rPr>
      </w:pPr>
    </w:p>
    <w:p w14:paraId="11F16360" w14:textId="77777777" w:rsidR="00F8508C" w:rsidRDefault="00F8508C" w:rsidP="00F8508C">
      <w:pPr>
        <w:rPr>
          <w:rFonts w:eastAsia="Calibri" w:cs="Times New Roman"/>
          <w:color w:val="000000" w:themeColor="text1"/>
          <w:szCs w:val="24"/>
        </w:rPr>
      </w:pPr>
      <w:r>
        <w:rPr>
          <w:rFonts w:eastAsia="Calibri" w:cs="Times New Roman"/>
          <w:color w:val="000000" w:themeColor="text1"/>
          <w:szCs w:val="24"/>
        </w:rPr>
        <w:t>Forslaget er en konsekvens af, at der ved en fejl henvises til kildeskattelovens § 73 B, som ikke har en stk. 7 og 8. Der skal i stedet henvises til § 73 C, stk. 7 og 8.</w:t>
      </w:r>
    </w:p>
    <w:p w14:paraId="747E16F0" w14:textId="77777777" w:rsidR="00F8508C" w:rsidRDefault="00F8508C" w:rsidP="00F8508C">
      <w:pPr>
        <w:rPr>
          <w:rFonts w:eastAsia="Calibri" w:cs="Times New Roman"/>
          <w:color w:val="000000" w:themeColor="text1"/>
          <w:szCs w:val="24"/>
        </w:rPr>
      </w:pPr>
    </w:p>
    <w:p w14:paraId="0F911B7E" w14:textId="60E7414F" w:rsidR="00F8508C" w:rsidRPr="009234D0" w:rsidRDefault="00F8508C" w:rsidP="009234D0">
      <w:pPr>
        <w:rPr>
          <w:rFonts w:eastAsia="Calibri" w:cs="Times New Roman"/>
          <w:color w:val="000000" w:themeColor="text1"/>
          <w:szCs w:val="24"/>
        </w:rPr>
      </w:pPr>
      <w:r>
        <w:rPr>
          <w:rFonts w:eastAsia="Calibri" w:cs="Times New Roman"/>
          <w:color w:val="000000" w:themeColor="text1"/>
          <w:szCs w:val="24"/>
        </w:rPr>
        <w:t>Der er ikke tilsigtet ændringer i retstilstanden på dette område med forslaget til ejendomsavancebeskatningsloven. Ændringen svarer til Skatteforvaltningens nuværende fortolkning af bestemmelsen. Der er således udelukkende tale om en ændring i en paragrafhenvisning.</w:t>
      </w:r>
    </w:p>
    <w:p w14:paraId="189DCF65" w14:textId="78F8FC0E" w:rsidR="00BA442C" w:rsidRPr="00815B3E" w:rsidRDefault="00194252" w:rsidP="00673631">
      <w:pPr>
        <w:spacing w:after="240"/>
        <w:rPr>
          <w:rFonts w:cs="Times New Roman"/>
          <w:color w:val="000000" w:themeColor="text1"/>
          <w:szCs w:val="24"/>
        </w:rPr>
      </w:pPr>
      <w:r w:rsidRPr="00815B3E">
        <w:rPr>
          <w:rFonts w:cs="Times New Roman"/>
          <w:color w:val="000000" w:themeColor="text1"/>
          <w:szCs w:val="24"/>
        </w:rPr>
        <w:br/>
      </w:r>
      <w:r w:rsidR="00BA442C" w:rsidRPr="00815B3E">
        <w:rPr>
          <w:rFonts w:cs="Times New Roman"/>
          <w:color w:val="000000" w:themeColor="text1"/>
          <w:szCs w:val="24"/>
        </w:rPr>
        <w:t xml:space="preserve">Til nr. </w:t>
      </w:r>
      <w:r w:rsidR="00F8508C">
        <w:rPr>
          <w:rFonts w:cs="Times New Roman"/>
          <w:color w:val="000000" w:themeColor="text1"/>
          <w:szCs w:val="24"/>
        </w:rPr>
        <w:t>6</w:t>
      </w:r>
    </w:p>
    <w:p w14:paraId="0F5B36D8" w14:textId="25B70F54" w:rsidR="00406204" w:rsidRDefault="00F95964" w:rsidP="0029653B">
      <w:pPr>
        <w:spacing w:after="240"/>
        <w:rPr>
          <w:rFonts w:cs="Times New Roman"/>
          <w:color w:val="000000" w:themeColor="text1"/>
          <w:szCs w:val="24"/>
        </w:rPr>
      </w:pPr>
      <w:r>
        <w:rPr>
          <w:rFonts w:cs="Times New Roman"/>
          <w:color w:val="000000" w:themeColor="text1"/>
          <w:szCs w:val="24"/>
        </w:rPr>
        <w:t xml:space="preserve">Ejendomsavancebeskatningsloven følger et </w:t>
      </w:r>
      <w:r w:rsidR="00CE0DBF">
        <w:rPr>
          <w:rFonts w:cs="Times New Roman"/>
          <w:color w:val="000000" w:themeColor="text1"/>
          <w:szCs w:val="24"/>
        </w:rPr>
        <w:t xml:space="preserve">fast </w:t>
      </w:r>
      <w:r>
        <w:rPr>
          <w:rFonts w:cs="Times New Roman"/>
          <w:color w:val="000000" w:themeColor="text1"/>
          <w:szCs w:val="24"/>
        </w:rPr>
        <w:t xml:space="preserve">realisationsprincip, </w:t>
      </w:r>
      <w:r w:rsidR="00CE0DBF">
        <w:rPr>
          <w:rFonts w:cs="Times New Roman"/>
          <w:color w:val="000000" w:themeColor="text1"/>
          <w:szCs w:val="24"/>
        </w:rPr>
        <w:t xml:space="preserve">hvilket indebærer, at </w:t>
      </w:r>
      <w:r w:rsidR="00406204">
        <w:rPr>
          <w:rFonts w:cs="Times New Roman"/>
          <w:color w:val="000000" w:themeColor="text1"/>
          <w:szCs w:val="24"/>
        </w:rPr>
        <w:t xml:space="preserve">en skattepligtig </w:t>
      </w:r>
      <w:r w:rsidR="00CE0DBF">
        <w:rPr>
          <w:rFonts w:cs="Times New Roman"/>
          <w:color w:val="000000" w:themeColor="text1"/>
          <w:szCs w:val="24"/>
        </w:rPr>
        <w:t xml:space="preserve">fortjeneste </w:t>
      </w:r>
      <w:r w:rsidR="00406204">
        <w:rPr>
          <w:rFonts w:cs="Times New Roman"/>
          <w:color w:val="000000" w:themeColor="text1"/>
          <w:szCs w:val="24"/>
        </w:rPr>
        <w:t xml:space="preserve">efter gældende regler i alle tilfælde </w:t>
      </w:r>
      <w:r w:rsidR="00CE0DBF">
        <w:rPr>
          <w:rFonts w:cs="Times New Roman"/>
          <w:color w:val="000000" w:themeColor="text1"/>
          <w:szCs w:val="24"/>
        </w:rPr>
        <w:t xml:space="preserve">medregnes ved opgørelsen af den skattepligtige indkomst i det indkomstår, hvor ejendommen afstås (realiseres). </w:t>
      </w:r>
    </w:p>
    <w:p w14:paraId="4FFBC4E6" w14:textId="1A1BFD33" w:rsidR="00406204" w:rsidRDefault="00406204" w:rsidP="0029653B">
      <w:pPr>
        <w:spacing w:after="240"/>
        <w:rPr>
          <w:rFonts w:cs="Times New Roman"/>
          <w:color w:val="000000" w:themeColor="text1"/>
          <w:szCs w:val="24"/>
        </w:rPr>
      </w:pPr>
      <w:r>
        <w:rPr>
          <w:rFonts w:cs="Times New Roman"/>
          <w:color w:val="000000" w:themeColor="text1"/>
          <w:szCs w:val="24"/>
        </w:rPr>
        <w:lastRenderedPageBreak/>
        <w:t>Det foreslås at indføre et lagerprincip for visse ejendomme, hvilket indebærer, at årets værdistigninger og -fald medregnes ved opgørelsen af den skattepligtige indkomst.</w:t>
      </w:r>
    </w:p>
    <w:p w14:paraId="414DA614" w14:textId="2C83FA37" w:rsidR="00F95964" w:rsidRDefault="00F95964" w:rsidP="0029653B">
      <w:pPr>
        <w:spacing w:after="240"/>
        <w:rPr>
          <w:rFonts w:cs="Times New Roman"/>
          <w:color w:val="000000" w:themeColor="text1"/>
          <w:szCs w:val="24"/>
        </w:rPr>
      </w:pPr>
      <w:r>
        <w:rPr>
          <w:rFonts w:cs="Times New Roman"/>
          <w:color w:val="000000" w:themeColor="text1"/>
          <w:szCs w:val="24"/>
        </w:rPr>
        <w:t>Ejendomsavancebeskatningsloven har ikke kapitelinddeling.</w:t>
      </w:r>
    </w:p>
    <w:p w14:paraId="678EED1B" w14:textId="3C0C09FA" w:rsidR="0029653B" w:rsidRPr="00815B3E" w:rsidRDefault="0029653B" w:rsidP="0029653B">
      <w:pPr>
        <w:spacing w:after="240"/>
        <w:rPr>
          <w:rFonts w:cs="Times New Roman"/>
          <w:color w:val="000000" w:themeColor="text1"/>
          <w:szCs w:val="24"/>
        </w:rPr>
      </w:pPr>
      <w:r w:rsidRPr="00815B3E">
        <w:rPr>
          <w:rFonts w:cs="Times New Roman"/>
          <w:color w:val="000000" w:themeColor="text1"/>
          <w:szCs w:val="24"/>
        </w:rPr>
        <w:t>Det foreslås, at der indsættes</w:t>
      </w:r>
      <w:r w:rsidR="00F95964">
        <w:rPr>
          <w:rFonts w:cs="Times New Roman"/>
          <w:color w:val="000000" w:themeColor="text1"/>
          <w:szCs w:val="24"/>
        </w:rPr>
        <w:t xml:space="preserve"> et </w:t>
      </w:r>
      <w:r w:rsidR="00F95964" w:rsidRPr="00255CB9">
        <w:rPr>
          <w:rFonts w:cs="Times New Roman"/>
          <w:i/>
          <w:iCs/>
          <w:color w:val="000000" w:themeColor="text1"/>
          <w:szCs w:val="24"/>
        </w:rPr>
        <w:t>kapitel 3</w:t>
      </w:r>
      <w:r w:rsidRPr="00815B3E">
        <w:rPr>
          <w:rFonts w:cs="Times New Roman"/>
          <w:color w:val="000000" w:themeColor="text1"/>
          <w:szCs w:val="24"/>
        </w:rPr>
        <w:t xml:space="preserve"> </w:t>
      </w:r>
      <w:proofErr w:type="gramStart"/>
      <w:r w:rsidR="00F95964">
        <w:rPr>
          <w:rFonts w:cs="Times New Roman"/>
          <w:color w:val="000000" w:themeColor="text1"/>
          <w:szCs w:val="24"/>
        </w:rPr>
        <w:t>om</w:t>
      </w:r>
      <w:proofErr w:type="gramEnd"/>
      <w:r w:rsidR="00F95964">
        <w:rPr>
          <w:rFonts w:cs="Times New Roman"/>
          <w:color w:val="000000" w:themeColor="text1"/>
          <w:szCs w:val="24"/>
        </w:rPr>
        <w:t xml:space="preserve"> lagerbeskattede ejendommen.</w:t>
      </w:r>
      <w:r w:rsidRPr="00815B3E">
        <w:rPr>
          <w:rFonts w:cs="Times New Roman"/>
          <w:color w:val="000000" w:themeColor="text1"/>
          <w:szCs w:val="24"/>
        </w:rPr>
        <w:t xml:space="preserve"> </w:t>
      </w:r>
    </w:p>
    <w:p w14:paraId="148656BA" w14:textId="63E905B9" w:rsidR="009C3102" w:rsidRPr="00815B3E" w:rsidRDefault="00D245C4" w:rsidP="0029653B">
      <w:pPr>
        <w:spacing w:after="240"/>
        <w:rPr>
          <w:rFonts w:cs="Times New Roman"/>
          <w:color w:val="000000" w:themeColor="text1"/>
          <w:szCs w:val="24"/>
        </w:rPr>
      </w:pPr>
      <w:r w:rsidRPr="00815B3E">
        <w:rPr>
          <w:rFonts w:cs="Times New Roman"/>
          <w:color w:val="000000" w:themeColor="text1"/>
          <w:szCs w:val="24"/>
        </w:rPr>
        <w:t>Det foreslåede kapitel 3 vil indeholde de foreslåede regler</w:t>
      </w:r>
      <w:r w:rsidR="00406204">
        <w:rPr>
          <w:rFonts w:cs="Times New Roman"/>
          <w:color w:val="000000" w:themeColor="text1"/>
          <w:szCs w:val="24"/>
        </w:rPr>
        <w:t xml:space="preserve"> i ejendomsavancebeskatningslovens §§ 14 – 14 D</w:t>
      </w:r>
      <w:r w:rsidRPr="00815B3E">
        <w:rPr>
          <w:rFonts w:cs="Times New Roman"/>
          <w:color w:val="000000" w:themeColor="text1"/>
          <w:szCs w:val="24"/>
        </w:rPr>
        <w:t xml:space="preserve"> om beskatning af fortjeneste og tab på visse ejendomme efter et lagerprincip. </w:t>
      </w:r>
    </w:p>
    <w:p w14:paraId="1BCBBFC2" w14:textId="5FE2C6BE" w:rsidR="00DF3DBA" w:rsidRPr="00815B3E" w:rsidRDefault="00DF3DBA" w:rsidP="00D143EB">
      <w:pPr>
        <w:spacing w:after="240"/>
        <w:rPr>
          <w:rFonts w:cs="Times New Roman"/>
          <w:color w:val="000000" w:themeColor="text1"/>
          <w:szCs w:val="24"/>
          <w:u w:val="single"/>
        </w:rPr>
      </w:pPr>
      <w:r w:rsidRPr="00815B3E">
        <w:rPr>
          <w:rFonts w:cs="Times New Roman"/>
          <w:color w:val="000000" w:themeColor="text1"/>
          <w:szCs w:val="24"/>
          <w:u w:val="single"/>
        </w:rPr>
        <w:t>Til § 14</w:t>
      </w:r>
    </w:p>
    <w:p w14:paraId="5F85E2D0" w14:textId="7D8D7FEA" w:rsidR="002147B1" w:rsidRPr="002147B1" w:rsidRDefault="0029653B" w:rsidP="002147B1">
      <w:pPr>
        <w:spacing w:after="240"/>
        <w:rPr>
          <w:rFonts w:cs="Times New Roman"/>
          <w:color w:val="000000" w:themeColor="text1"/>
          <w:szCs w:val="24"/>
        </w:rPr>
      </w:pPr>
      <w:r w:rsidRPr="00815B3E">
        <w:rPr>
          <w:rFonts w:cs="Times New Roman"/>
          <w:color w:val="000000" w:themeColor="text1"/>
          <w:szCs w:val="24"/>
        </w:rPr>
        <w:t xml:space="preserve">Den første </w:t>
      </w:r>
      <w:r w:rsidR="00D143EB" w:rsidRPr="00815B3E">
        <w:rPr>
          <w:rFonts w:cs="Times New Roman"/>
          <w:color w:val="000000" w:themeColor="text1"/>
          <w:szCs w:val="24"/>
        </w:rPr>
        <w:t xml:space="preserve">foreslåede nye </w:t>
      </w:r>
      <w:r w:rsidRPr="00815B3E">
        <w:rPr>
          <w:rFonts w:cs="Times New Roman"/>
          <w:color w:val="000000" w:themeColor="text1"/>
          <w:szCs w:val="24"/>
        </w:rPr>
        <w:t>bestemmelse</w:t>
      </w:r>
      <w:r w:rsidR="00D143EB" w:rsidRPr="00815B3E">
        <w:rPr>
          <w:rFonts w:cs="Times New Roman"/>
          <w:color w:val="000000" w:themeColor="text1"/>
          <w:szCs w:val="24"/>
        </w:rPr>
        <w:t xml:space="preserve"> er ejendomsavancebeskatningslovens</w:t>
      </w:r>
      <w:r w:rsidRPr="00815B3E">
        <w:rPr>
          <w:rFonts w:cs="Times New Roman"/>
          <w:color w:val="000000" w:themeColor="text1"/>
          <w:szCs w:val="24"/>
        </w:rPr>
        <w:t xml:space="preserve"> </w:t>
      </w:r>
      <w:r w:rsidRPr="00815B3E">
        <w:rPr>
          <w:rFonts w:cs="Times New Roman"/>
          <w:i/>
          <w:iCs/>
          <w:color w:val="000000" w:themeColor="text1"/>
          <w:szCs w:val="24"/>
        </w:rPr>
        <w:t>§ 14, stk. 1</w:t>
      </w:r>
      <w:r w:rsidRPr="00815B3E">
        <w:rPr>
          <w:rFonts w:cs="Times New Roman"/>
          <w:color w:val="000000" w:themeColor="text1"/>
          <w:szCs w:val="24"/>
        </w:rPr>
        <w:t xml:space="preserve">, </w:t>
      </w:r>
      <w:r w:rsidR="00D143EB" w:rsidRPr="00815B3E">
        <w:rPr>
          <w:rFonts w:cs="Times New Roman"/>
          <w:color w:val="000000" w:themeColor="text1"/>
          <w:szCs w:val="24"/>
        </w:rPr>
        <w:t>hvorefter</w:t>
      </w:r>
      <w:r w:rsidRPr="00815B3E">
        <w:rPr>
          <w:rFonts w:cs="Times New Roman"/>
          <w:color w:val="000000" w:themeColor="text1"/>
          <w:szCs w:val="24"/>
        </w:rPr>
        <w:t xml:space="preserve"> </w:t>
      </w:r>
      <w:r w:rsidR="002147B1">
        <w:rPr>
          <w:rFonts w:cs="Times New Roman"/>
          <w:color w:val="000000" w:themeColor="text1"/>
          <w:szCs w:val="24"/>
        </w:rPr>
        <w:t>s</w:t>
      </w:r>
      <w:r w:rsidR="002147B1" w:rsidRPr="002147B1">
        <w:rPr>
          <w:rFonts w:cs="Times New Roman"/>
          <w:color w:val="000000" w:themeColor="text1"/>
          <w:szCs w:val="24"/>
        </w:rPr>
        <w:t xml:space="preserve">kattepligtige omfattet af selskabsskattelovens § 1, stk. 1, nr. 1-2j og 3a-6, eller § 2, stk. 1, litra a eller b, ved opgørelsen af den skattepligtige indkomst </w:t>
      </w:r>
      <w:r w:rsidR="002147B1">
        <w:rPr>
          <w:rFonts w:cs="Times New Roman"/>
          <w:color w:val="000000" w:themeColor="text1"/>
          <w:szCs w:val="24"/>
        </w:rPr>
        <w:t xml:space="preserve">skal </w:t>
      </w:r>
      <w:r w:rsidR="002147B1" w:rsidRPr="002147B1">
        <w:rPr>
          <w:rFonts w:cs="Times New Roman"/>
          <w:color w:val="000000" w:themeColor="text1"/>
          <w:szCs w:val="24"/>
        </w:rPr>
        <w:t xml:space="preserve">medregne </w:t>
      </w:r>
      <w:proofErr w:type="spellStart"/>
      <w:r w:rsidR="002147B1" w:rsidRPr="002147B1">
        <w:rPr>
          <w:rFonts w:cs="Times New Roman"/>
          <w:color w:val="000000" w:themeColor="text1"/>
          <w:szCs w:val="24"/>
        </w:rPr>
        <w:t>urealiseret</w:t>
      </w:r>
      <w:proofErr w:type="spellEnd"/>
      <w:r w:rsidR="002147B1" w:rsidRPr="002147B1">
        <w:rPr>
          <w:rFonts w:cs="Times New Roman"/>
          <w:color w:val="000000" w:themeColor="text1"/>
          <w:szCs w:val="24"/>
        </w:rPr>
        <w:t xml:space="preserve"> gevinst og tab på ejendomme (lagerprincippet), når </w:t>
      </w:r>
      <w:r w:rsidR="004E00DD">
        <w:rPr>
          <w:rFonts w:cs="Times New Roman"/>
          <w:color w:val="000000" w:themeColor="text1"/>
          <w:szCs w:val="24"/>
        </w:rPr>
        <w:t>følgende betingelser er opfyldt:</w:t>
      </w:r>
    </w:p>
    <w:p w14:paraId="2E5B210D" w14:textId="6BFAD5C5" w:rsidR="002147B1" w:rsidRPr="002147B1" w:rsidRDefault="002147B1" w:rsidP="00813769">
      <w:pPr>
        <w:spacing w:after="240"/>
        <w:ind w:left="567"/>
        <w:rPr>
          <w:rFonts w:cs="Times New Roman"/>
          <w:color w:val="000000" w:themeColor="text1"/>
          <w:szCs w:val="24"/>
        </w:rPr>
      </w:pPr>
      <w:r w:rsidRPr="002147B1">
        <w:rPr>
          <w:rFonts w:cs="Times New Roman"/>
          <w:color w:val="000000" w:themeColor="text1"/>
          <w:szCs w:val="24"/>
        </w:rPr>
        <w:t xml:space="preserve">1) </w:t>
      </w:r>
      <w:r w:rsidR="004E00DD">
        <w:rPr>
          <w:rFonts w:cs="Times New Roman"/>
          <w:color w:val="000000" w:themeColor="text1"/>
          <w:szCs w:val="24"/>
        </w:rPr>
        <w:t>E</w:t>
      </w:r>
      <w:r w:rsidRPr="002147B1">
        <w:rPr>
          <w:rFonts w:cs="Times New Roman"/>
          <w:color w:val="000000" w:themeColor="text1"/>
          <w:szCs w:val="24"/>
        </w:rPr>
        <w:t>jendommen udlejes   i overvejende omfang på noget tidspunkt i den skattepligtiges indkomstår</w:t>
      </w:r>
      <w:r w:rsidR="00FA7021">
        <w:rPr>
          <w:rFonts w:cs="Times New Roman"/>
          <w:color w:val="000000" w:themeColor="text1"/>
          <w:szCs w:val="24"/>
        </w:rPr>
        <w:t>.</w:t>
      </w:r>
    </w:p>
    <w:p w14:paraId="22E5C809" w14:textId="10E7DB02" w:rsidR="0029653B" w:rsidRPr="00815B3E" w:rsidRDefault="002147B1" w:rsidP="00813769">
      <w:pPr>
        <w:spacing w:after="240"/>
        <w:ind w:left="567"/>
        <w:rPr>
          <w:rFonts w:cs="Times New Roman"/>
          <w:color w:val="000000" w:themeColor="text1"/>
          <w:szCs w:val="28"/>
        </w:rPr>
      </w:pPr>
      <w:r w:rsidRPr="002147B1">
        <w:rPr>
          <w:rFonts w:cs="Times New Roman"/>
          <w:color w:val="000000" w:themeColor="text1"/>
          <w:szCs w:val="24"/>
        </w:rPr>
        <w:t xml:space="preserve">2) </w:t>
      </w:r>
      <w:r w:rsidR="004E00DD">
        <w:rPr>
          <w:rFonts w:cs="Times New Roman"/>
          <w:color w:val="000000" w:themeColor="text1"/>
          <w:szCs w:val="24"/>
        </w:rPr>
        <w:t>H</w:t>
      </w:r>
      <w:r w:rsidRPr="002147B1">
        <w:rPr>
          <w:rFonts w:cs="Times New Roman"/>
          <w:color w:val="000000" w:themeColor="text1"/>
          <w:szCs w:val="24"/>
        </w:rPr>
        <w:t xml:space="preserve">andelsværdien af ejendomme under dansk beskatning, der udlejes i overvejende omfang, overstiger 100 mio. kr.  ved udløbet af den skattepligtiges indkomstår. Ved opgørelsen efter 1. pkt. medregnes værdien af den skattepligtiges egne ejendomme   og ejendomme tilhørende selskaber m.v. som nævnt i 1. pkt., og som kontrolleres af den kreds af parter, der har en forbindelse, som er nævnt i ligningslovens § 2. Hvis indkomståret for en part ikke udløber på samme tidspunkt som indkomståret for den skattepligtige, anvendes værdien ved udløbet af det indkomstår, som træder i stedet for den skattepligtiges indkomstår, ved opgørelsen efter 2. pkt.  </w:t>
      </w:r>
    </w:p>
    <w:p w14:paraId="3CC877AF" w14:textId="7ED000E2" w:rsidR="0029653B" w:rsidRPr="00815B3E" w:rsidRDefault="0029653B" w:rsidP="0029653B">
      <w:pPr>
        <w:spacing w:after="240"/>
        <w:rPr>
          <w:rFonts w:cs="Times New Roman"/>
          <w:color w:val="000000" w:themeColor="text1"/>
          <w:szCs w:val="28"/>
        </w:rPr>
      </w:pPr>
      <w:r w:rsidRPr="00815B3E">
        <w:rPr>
          <w:rFonts w:cs="Times New Roman"/>
          <w:color w:val="000000" w:themeColor="text1"/>
          <w:szCs w:val="28"/>
        </w:rPr>
        <w:t>Det foreslåede § 14, stk. 1</w:t>
      </w:r>
      <w:r w:rsidR="00E06FA3">
        <w:rPr>
          <w:rFonts w:cs="Times New Roman"/>
          <w:color w:val="000000" w:themeColor="text1"/>
          <w:szCs w:val="28"/>
        </w:rPr>
        <w:t>,</w:t>
      </w:r>
      <w:r w:rsidRPr="00815B3E">
        <w:rPr>
          <w:rFonts w:cs="Times New Roman"/>
          <w:color w:val="000000" w:themeColor="text1"/>
          <w:szCs w:val="28"/>
        </w:rPr>
        <w:t xml:space="preserve"> fastlægger dermed først og fremmest, hvilke skattepligtige der </w:t>
      </w:r>
      <w:r w:rsidR="00C7637D" w:rsidRPr="00815B3E">
        <w:rPr>
          <w:rFonts w:cs="Times New Roman"/>
          <w:color w:val="000000" w:themeColor="text1"/>
          <w:szCs w:val="28"/>
        </w:rPr>
        <w:t>vil være</w:t>
      </w:r>
      <w:r w:rsidRPr="00815B3E">
        <w:rPr>
          <w:rFonts w:cs="Times New Roman"/>
          <w:color w:val="000000" w:themeColor="text1"/>
          <w:szCs w:val="28"/>
        </w:rPr>
        <w:t xml:space="preserve"> omfattet af de foreslåede regler om lagerbeskatning </w:t>
      </w:r>
      <w:r w:rsidR="009C1764" w:rsidRPr="00815B3E">
        <w:rPr>
          <w:rFonts w:cs="Times New Roman"/>
          <w:color w:val="000000" w:themeColor="text1"/>
          <w:szCs w:val="28"/>
        </w:rPr>
        <w:t>ejendomsavancer på</w:t>
      </w:r>
      <w:r w:rsidRPr="00815B3E">
        <w:rPr>
          <w:rFonts w:cs="Times New Roman"/>
          <w:color w:val="000000" w:themeColor="text1"/>
          <w:szCs w:val="28"/>
        </w:rPr>
        <w:t xml:space="preserve"> visse ejendomme. </w:t>
      </w:r>
    </w:p>
    <w:p w14:paraId="5E993D43" w14:textId="33644F0C" w:rsidR="0029653B" w:rsidRDefault="0029653B" w:rsidP="0029653B">
      <w:pPr>
        <w:spacing w:after="240"/>
        <w:rPr>
          <w:rFonts w:cs="Times New Roman"/>
          <w:color w:val="000000" w:themeColor="text1"/>
          <w:szCs w:val="28"/>
        </w:rPr>
      </w:pPr>
      <w:r w:rsidRPr="00815B3E">
        <w:rPr>
          <w:rFonts w:cs="Times New Roman"/>
          <w:color w:val="000000" w:themeColor="text1"/>
          <w:szCs w:val="28"/>
        </w:rPr>
        <w:t xml:space="preserve">Det </w:t>
      </w:r>
      <w:r w:rsidR="001E442D" w:rsidRPr="00815B3E">
        <w:rPr>
          <w:rFonts w:cs="Times New Roman"/>
          <w:color w:val="000000" w:themeColor="text1"/>
          <w:szCs w:val="28"/>
        </w:rPr>
        <w:t xml:space="preserve">foreslås, at </w:t>
      </w:r>
      <w:r w:rsidR="002147B1">
        <w:rPr>
          <w:rFonts w:cs="Times New Roman"/>
          <w:color w:val="000000" w:themeColor="text1"/>
          <w:szCs w:val="24"/>
        </w:rPr>
        <w:t>s</w:t>
      </w:r>
      <w:r w:rsidR="002147B1" w:rsidRPr="002147B1">
        <w:rPr>
          <w:rFonts w:cs="Times New Roman"/>
          <w:color w:val="000000" w:themeColor="text1"/>
          <w:szCs w:val="24"/>
        </w:rPr>
        <w:t>kattepligtige omfattet af selskabsskattelovens § 1, stk. 1, nr. 1-2j og 3a-6, eller § 2, stk. 1, litra a eller b</w:t>
      </w:r>
      <w:r w:rsidR="00574D3D" w:rsidRPr="00815B3E">
        <w:rPr>
          <w:rFonts w:cs="Times New Roman"/>
          <w:color w:val="000000" w:themeColor="text1"/>
          <w:szCs w:val="28"/>
        </w:rPr>
        <w:t xml:space="preserve">, dvs. </w:t>
      </w:r>
      <w:r w:rsidR="001E442D" w:rsidRPr="00815B3E">
        <w:rPr>
          <w:rFonts w:cs="Times New Roman"/>
          <w:color w:val="000000" w:themeColor="text1"/>
          <w:szCs w:val="28"/>
        </w:rPr>
        <w:t>selskaber og foreninger</w:t>
      </w:r>
      <w:r w:rsidR="00574D3D" w:rsidRPr="00815B3E">
        <w:rPr>
          <w:rFonts w:cs="Times New Roman"/>
          <w:color w:val="000000" w:themeColor="text1"/>
          <w:szCs w:val="28"/>
        </w:rPr>
        <w:t xml:space="preserve"> m.v.</w:t>
      </w:r>
      <w:r w:rsidR="001E442D" w:rsidRPr="00815B3E">
        <w:rPr>
          <w:rFonts w:cs="Times New Roman"/>
          <w:color w:val="000000" w:themeColor="text1"/>
          <w:szCs w:val="28"/>
        </w:rPr>
        <w:t xml:space="preserve">, der er hjemmehørende her i </w:t>
      </w:r>
      <w:r w:rsidR="002C138C" w:rsidRPr="00815B3E">
        <w:rPr>
          <w:rFonts w:cs="Times New Roman"/>
          <w:color w:val="000000" w:themeColor="text1"/>
          <w:szCs w:val="28"/>
        </w:rPr>
        <w:t>landet</w:t>
      </w:r>
      <w:r w:rsidR="00574D3D" w:rsidRPr="00815B3E">
        <w:rPr>
          <w:rFonts w:cs="Times New Roman"/>
          <w:color w:val="000000" w:themeColor="text1"/>
          <w:szCs w:val="28"/>
        </w:rPr>
        <w:t xml:space="preserve"> og</w:t>
      </w:r>
      <w:r w:rsidR="002C138C" w:rsidRPr="00815B3E">
        <w:rPr>
          <w:rFonts w:cs="Times New Roman"/>
          <w:color w:val="000000" w:themeColor="text1"/>
          <w:szCs w:val="28"/>
        </w:rPr>
        <w:t xml:space="preserve"> er fuldt skattepligtige til Danmark. </w:t>
      </w:r>
      <w:r w:rsidR="008C607C">
        <w:rPr>
          <w:rFonts w:cs="Times New Roman"/>
          <w:color w:val="000000" w:themeColor="text1"/>
          <w:szCs w:val="28"/>
        </w:rPr>
        <w:t>Selskabsskattelovens § 1, stk. 1,</w:t>
      </w:r>
      <w:r w:rsidR="002C138C" w:rsidRPr="00815B3E">
        <w:rPr>
          <w:rFonts w:cs="Times New Roman"/>
          <w:color w:val="000000" w:themeColor="text1"/>
          <w:szCs w:val="28"/>
        </w:rPr>
        <w:t xml:space="preserve"> omfatter </w:t>
      </w:r>
      <w:r w:rsidR="00574D3D" w:rsidRPr="00815B3E">
        <w:rPr>
          <w:rFonts w:cs="Times New Roman"/>
          <w:color w:val="000000" w:themeColor="text1"/>
          <w:szCs w:val="28"/>
        </w:rPr>
        <w:t>bl.a.</w:t>
      </w:r>
      <w:r w:rsidR="002C138C" w:rsidRPr="00815B3E">
        <w:rPr>
          <w:rFonts w:cs="Times New Roman"/>
          <w:color w:val="000000" w:themeColor="text1"/>
          <w:szCs w:val="28"/>
        </w:rPr>
        <w:t xml:space="preserve"> aktie- og anpartsselskaber</w:t>
      </w:r>
      <w:r w:rsidR="00574D3D" w:rsidRPr="00815B3E">
        <w:rPr>
          <w:rFonts w:cs="Times New Roman"/>
          <w:color w:val="000000" w:themeColor="text1"/>
          <w:szCs w:val="28"/>
        </w:rPr>
        <w:t xml:space="preserve"> og andre selskaber, i hvilke ingen af deltagerne hæfter personligt for selskabets forpligtelser</w:t>
      </w:r>
      <w:r w:rsidR="002C138C" w:rsidRPr="00815B3E">
        <w:rPr>
          <w:rFonts w:cs="Times New Roman"/>
          <w:color w:val="000000" w:themeColor="text1"/>
          <w:szCs w:val="28"/>
        </w:rPr>
        <w:t xml:space="preserve">.  </w:t>
      </w:r>
    </w:p>
    <w:p w14:paraId="24A0BADC" w14:textId="1D7A4692" w:rsidR="00633821" w:rsidRDefault="00633821" w:rsidP="00633821">
      <w:pPr>
        <w:spacing w:after="240"/>
        <w:rPr>
          <w:rFonts w:cs="Times New Roman"/>
          <w:color w:val="000000" w:themeColor="text1"/>
          <w:szCs w:val="28"/>
        </w:rPr>
      </w:pPr>
      <w:r>
        <w:rPr>
          <w:rFonts w:cs="Times New Roman"/>
          <w:color w:val="000000" w:themeColor="text1"/>
          <w:szCs w:val="28"/>
        </w:rPr>
        <w:lastRenderedPageBreak/>
        <w:t xml:space="preserve">Andelsforeninger omfattet af selskabsskattelovens § 1, stk. 1, nr. 3, er ikke undergivet almindelig selskabsbeskatning, men er derimod omfattet af den særlige andelsbeskatning, jf. selskabsskattelovens §§ 14, 15 og 16. Andelsbeskatningen indebærer, at andelsforeningen ikke </w:t>
      </w:r>
      <w:r w:rsidR="005022C0">
        <w:rPr>
          <w:rFonts w:cs="Times New Roman"/>
          <w:color w:val="000000" w:themeColor="text1"/>
          <w:szCs w:val="28"/>
        </w:rPr>
        <w:t xml:space="preserve">beskattes </w:t>
      </w:r>
      <w:r>
        <w:rPr>
          <w:rFonts w:cs="Times New Roman"/>
          <w:color w:val="000000" w:themeColor="text1"/>
          <w:szCs w:val="28"/>
        </w:rPr>
        <w:t>af foreningen</w:t>
      </w:r>
      <w:r w:rsidR="005022C0">
        <w:rPr>
          <w:rFonts w:cs="Times New Roman"/>
          <w:color w:val="000000" w:themeColor="text1"/>
          <w:szCs w:val="28"/>
        </w:rPr>
        <w:t>s</w:t>
      </w:r>
      <w:r>
        <w:rPr>
          <w:rFonts w:cs="Times New Roman"/>
          <w:color w:val="000000" w:themeColor="text1"/>
          <w:szCs w:val="28"/>
        </w:rPr>
        <w:t xml:space="preserve"> overskud, men af en procentdel af formuen. </w:t>
      </w:r>
    </w:p>
    <w:p w14:paraId="452D493C" w14:textId="2A3959F3" w:rsidR="00633821" w:rsidRDefault="00633821" w:rsidP="00633821">
      <w:pPr>
        <w:spacing w:after="240"/>
        <w:rPr>
          <w:rFonts w:cs="Times New Roman"/>
          <w:color w:val="000000" w:themeColor="text1"/>
          <w:szCs w:val="28"/>
        </w:rPr>
      </w:pPr>
      <w:r>
        <w:rPr>
          <w:rFonts w:cs="Times New Roman"/>
          <w:color w:val="000000" w:themeColor="text1"/>
          <w:szCs w:val="28"/>
        </w:rPr>
        <w:t>Foreninger</w:t>
      </w:r>
      <w:r w:rsidR="005022C0">
        <w:rPr>
          <w:rFonts w:cs="Times New Roman"/>
          <w:color w:val="000000" w:themeColor="text1"/>
          <w:szCs w:val="28"/>
        </w:rPr>
        <w:t>,</w:t>
      </w:r>
      <w:r>
        <w:rPr>
          <w:rFonts w:cs="Times New Roman"/>
          <w:color w:val="000000" w:themeColor="text1"/>
          <w:szCs w:val="28"/>
        </w:rPr>
        <w:t xml:space="preserve"> </w:t>
      </w:r>
      <w:r w:rsidRPr="00A37AA6">
        <w:rPr>
          <w:rFonts w:cs="Times New Roman"/>
          <w:color w:val="000000" w:themeColor="text1"/>
          <w:szCs w:val="28"/>
        </w:rPr>
        <w:t>k</w:t>
      </w:r>
      <w:r w:rsidR="005022C0">
        <w:rPr>
          <w:rFonts w:cs="Times New Roman"/>
          <w:color w:val="000000" w:themeColor="text1"/>
          <w:szCs w:val="28"/>
        </w:rPr>
        <w:t>o</w:t>
      </w:r>
      <w:r w:rsidRPr="00A37AA6">
        <w:rPr>
          <w:rFonts w:cs="Times New Roman"/>
          <w:color w:val="000000" w:themeColor="text1"/>
          <w:szCs w:val="28"/>
        </w:rPr>
        <w:t>rporationer, stiftelser, legater og selvejende institutioner</w:t>
      </w:r>
      <w:r>
        <w:rPr>
          <w:rFonts w:cs="Times New Roman"/>
          <w:color w:val="000000" w:themeColor="text1"/>
          <w:szCs w:val="28"/>
        </w:rPr>
        <w:t xml:space="preserve">, der ikke omfattes af fondsbeskatningsloven, er skattepligtige efter bestemmelsen i selskabsskattelovens § 1, stk. 1, nr. 6. Skattepligten for disse foreninger m.v. omfatter dog kun indtægt ved erhvervsmæssig virksomhed samt </w:t>
      </w:r>
      <w:r w:rsidRPr="00A37AA6">
        <w:rPr>
          <w:rFonts w:cs="Times New Roman"/>
          <w:color w:val="000000" w:themeColor="text1"/>
          <w:szCs w:val="28"/>
        </w:rPr>
        <w:t xml:space="preserve">fortjeneste eller tab ved afhændelse, afståelse eller opgivelse af formuegoder, der har eller har haft tilknytning til den erhvervsmæssige virksomhed. Skattepligten omfatter endvidere udbytte som nævnt i </w:t>
      </w:r>
      <w:r>
        <w:rPr>
          <w:rFonts w:cs="Times New Roman"/>
          <w:color w:val="000000" w:themeColor="text1"/>
          <w:szCs w:val="28"/>
        </w:rPr>
        <w:t xml:space="preserve">selskabsskattelovens </w:t>
      </w:r>
      <w:r w:rsidRPr="00A37AA6">
        <w:rPr>
          <w:rFonts w:cs="Times New Roman"/>
          <w:color w:val="000000" w:themeColor="text1"/>
          <w:szCs w:val="28"/>
        </w:rPr>
        <w:t>§ 2, stk. 1, litra c, 1. og 2. pkt., renter som nævnt i § 2, stk. 1, litra d, 1. pkt., royalty som nævnt i § 2, stk. 1, litra g, 1. pkt., og kursgevinster som nævnt i § 2, stk. 1, litra h, 1.-3. pkt. Skattepligten af udbytte gælder dog ikke foreninger m.v., hvis midler ifølge vedtægter el.lign. udelukkende kan anvendes til almenvelgørende eller på anden måde almennyttige formål</w:t>
      </w:r>
      <w:r>
        <w:rPr>
          <w:rFonts w:cs="Times New Roman"/>
          <w:color w:val="000000" w:themeColor="text1"/>
          <w:szCs w:val="28"/>
        </w:rPr>
        <w:t>.</w:t>
      </w:r>
    </w:p>
    <w:p w14:paraId="755F6F4A" w14:textId="2A2EB92B" w:rsidR="00633821" w:rsidRDefault="00633821" w:rsidP="00633821">
      <w:pPr>
        <w:spacing w:after="240"/>
        <w:rPr>
          <w:rFonts w:cs="Times New Roman"/>
          <w:color w:val="000000" w:themeColor="text1"/>
          <w:szCs w:val="28"/>
        </w:rPr>
      </w:pPr>
      <w:r w:rsidRPr="00A37AA6">
        <w:rPr>
          <w:rFonts w:cs="Times New Roman"/>
          <w:color w:val="000000" w:themeColor="text1"/>
          <w:szCs w:val="28"/>
        </w:rPr>
        <w:t>Som indtægt ved erhvervsmæssig virksomhed for de i</w:t>
      </w:r>
      <w:r>
        <w:rPr>
          <w:rFonts w:cs="Times New Roman"/>
          <w:color w:val="000000" w:themeColor="text1"/>
          <w:szCs w:val="28"/>
        </w:rPr>
        <w:t xml:space="preserve"> selskabsskattelovens § 1,</w:t>
      </w:r>
      <w:r w:rsidRPr="00A37AA6">
        <w:rPr>
          <w:rFonts w:cs="Times New Roman"/>
          <w:color w:val="000000" w:themeColor="text1"/>
          <w:szCs w:val="28"/>
        </w:rPr>
        <w:t xml:space="preserve"> stk. 1, nr. 5 c, 5 d eller 6, omhandlede foreninger m</w:t>
      </w:r>
      <w:r w:rsidR="00F95964">
        <w:rPr>
          <w:rFonts w:cs="Times New Roman"/>
          <w:color w:val="000000" w:themeColor="text1"/>
          <w:szCs w:val="28"/>
        </w:rPr>
        <w:t>.</w:t>
      </w:r>
      <w:r w:rsidRPr="00A37AA6">
        <w:rPr>
          <w:rFonts w:cs="Times New Roman"/>
          <w:color w:val="000000" w:themeColor="text1"/>
          <w:szCs w:val="28"/>
        </w:rPr>
        <w:t>v. betragtes indtægt ved næringsvirksomhed eller anden forretningsvirksomhed, herunder indtægt ved drift, udlejning eller bortforpagtning af fast ejendom og indtægt ved produktion af elektricitet og varme</w:t>
      </w:r>
      <w:r>
        <w:rPr>
          <w:rFonts w:cs="Times New Roman"/>
          <w:color w:val="000000" w:themeColor="text1"/>
          <w:szCs w:val="28"/>
        </w:rPr>
        <w:t>, jf. selskabsskattelovens § 1, stk. 4. Overskud, som er indvundet ved leverancer til medlemmerne</w:t>
      </w:r>
      <w:r w:rsidR="00F95964">
        <w:rPr>
          <w:rFonts w:cs="Times New Roman"/>
          <w:color w:val="000000" w:themeColor="text1"/>
          <w:szCs w:val="28"/>
        </w:rPr>
        <w:t>,</w:t>
      </w:r>
      <w:r>
        <w:rPr>
          <w:rFonts w:cs="Times New Roman"/>
          <w:color w:val="000000" w:themeColor="text1"/>
          <w:szCs w:val="28"/>
        </w:rPr>
        <w:t xml:space="preserve"> betragtes dog ikke som indvundet ved erhvervsmæssig virksomhed.</w:t>
      </w:r>
    </w:p>
    <w:p w14:paraId="693D6AAF" w14:textId="77777777" w:rsidR="00633821" w:rsidRDefault="00633821" w:rsidP="00633821">
      <w:pPr>
        <w:spacing w:after="240"/>
        <w:rPr>
          <w:rFonts w:cs="Times New Roman"/>
          <w:color w:val="000000" w:themeColor="text1"/>
          <w:szCs w:val="28"/>
        </w:rPr>
      </w:pPr>
      <w:r>
        <w:rPr>
          <w:rFonts w:cs="Times New Roman"/>
          <w:color w:val="000000" w:themeColor="text1"/>
          <w:szCs w:val="28"/>
        </w:rPr>
        <w:t>Andelsboligforeninger er skattepligtige efter bestemmelsen i selskabsskattelovens § 1, stk. 1, nr. 6. Indkomst, som en andelsboligforening opnår ved udlejning til andelsboligforeningens medlemmer, anses på den baggrund ikke for at udgøre indkomst ved erhvervsmæssig virksomhed for andelsboligforeningen.</w:t>
      </w:r>
    </w:p>
    <w:p w14:paraId="6A4FCE20" w14:textId="13407DCF" w:rsidR="00574D3D" w:rsidRPr="00815B3E" w:rsidRDefault="00574D3D" w:rsidP="00673631">
      <w:pPr>
        <w:spacing w:after="240"/>
        <w:rPr>
          <w:rFonts w:cs="Times New Roman"/>
          <w:color w:val="000000" w:themeColor="text1"/>
          <w:szCs w:val="28"/>
        </w:rPr>
      </w:pPr>
      <w:r w:rsidRPr="00815B3E">
        <w:rPr>
          <w:rFonts w:cs="Times New Roman"/>
          <w:color w:val="000000" w:themeColor="text1"/>
          <w:szCs w:val="28"/>
        </w:rPr>
        <w:t xml:space="preserve">Endvidere </w:t>
      </w:r>
      <w:r w:rsidR="002C138C" w:rsidRPr="00815B3E">
        <w:rPr>
          <w:rFonts w:cs="Times New Roman"/>
          <w:color w:val="000000" w:themeColor="text1"/>
          <w:szCs w:val="28"/>
        </w:rPr>
        <w:t>foreslås de</w:t>
      </w:r>
      <w:r w:rsidR="009D526D" w:rsidRPr="00815B3E">
        <w:rPr>
          <w:rFonts w:cs="Times New Roman"/>
          <w:color w:val="000000" w:themeColor="text1"/>
          <w:szCs w:val="28"/>
        </w:rPr>
        <w:t>t</w:t>
      </w:r>
      <w:r w:rsidR="002C138C" w:rsidRPr="00815B3E">
        <w:rPr>
          <w:rFonts w:cs="Times New Roman"/>
          <w:color w:val="000000" w:themeColor="text1"/>
          <w:szCs w:val="28"/>
        </w:rPr>
        <w:t>, at</w:t>
      </w:r>
      <w:r w:rsidRPr="00815B3E">
        <w:rPr>
          <w:rFonts w:cs="Times New Roman"/>
          <w:color w:val="000000" w:themeColor="text1"/>
          <w:szCs w:val="28"/>
        </w:rPr>
        <w:t xml:space="preserve"> selskaber</w:t>
      </w:r>
      <w:r w:rsidR="002C138C" w:rsidRPr="00815B3E">
        <w:rPr>
          <w:rFonts w:cs="Times New Roman"/>
          <w:color w:val="000000" w:themeColor="text1"/>
          <w:szCs w:val="28"/>
        </w:rPr>
        <w:t xml:space="preserve"> </w:t>
      </w:r>
      <w:r w:rsidRPr="00815B3E">
        <w:rPr>
          <w:rFonts w:cs="Times New Roman"/>
          <w:color w:val="000000" w:themeColor="text1"/>
          <w:szCs w:val="28"/>
        </w:rPr>
        <w:t>omfattet af selskabsskattelovens § 2, stk. 1, litra a eller b</w:t>
      </w:r>
      <w:r w:rsidR="009D526D" w:rsidRPr="00815B3E">
        <w:rPr>
          <w:rFonts w:cs="Times New Roman"/>
          <w:color w:val="000000" w:themeColor="text1"/>
          <w:szCs w:val="28"/>
        </w:rPr>
        <w:t>,</w:t>
      </w:r>
      <w:r w:rsidR="009D526D" w:rsidRPr="00815B3E" w:rsidDel="009D526D">
        <w:rPr>
          <w:rFonts w:cs="Times New Roman"/>
          <w:color w:val="000000" w:themeColor="text1"/>
          <w:szCs w:val="28"/>
        </w:rPr>
        <w:t xml:space="preserve"> </w:t>
      </w:r>
      <w:r w:rsidR="002C138C" w:rsidRPr="00815B3E">
        <w:rPr>
          <w:rFonts w:cs="Times New Roman"/>
          <w:color w:val="000000" w:themeColor="text1"/>
          <w:szCs w:val="28"/>
        </w:rPr>
        <w:t xml:space="preserve">omfattes af de </w:t>
      </w:r>
      <w:r w:rsidR="009D526D" w:rsidRPr="00815B3E">
        <w:rPr>
          <w:rFonts w:cs="Times New Roman"/>
          <w:color w:val="000000" w:themeColor="text1"/>
          <w:szCs w:val="28"/>
        </w:rPr>
        <w:t xml:space="preserve">foreslåede </w:t>
      </w:r>
      <w:r w:rsidR="002C138C" w:rsidRPr="00815B3E">
        <w:rPr>
          <w:rFonts w:cs="Times New Roman"/>
          <w:color w:val="000000" w:themeColor="text1"/>
          <w:szCs w:val="28"/>
        </w:rPr>
        <w:t>regler.</w:t>
      </w:r>
      <w:r w:rsidRPr="00815B3E">
        <w:rPr>
          <w:rFonts w:cs="Times New Roman"/>
          <w:color w:val="000000" w:themeColor="text1"/>
          <w:szCs w:val="28"/>
        </w:rPr>
        <w:t xml:space="preserve"> </w:t>
      </w:r>
      <w:r w:rsidR="00633821">
        <w:rPr>
          <w:rFonts w:cs="Times New Roman"/>
          <w:color w:val="000000" w:themeColor="text1"/>
          <w:szCs w:val="28"/>
        </w:rPr>
        <w:t>Der er tale</w:t>
      </w:r>
      <w:r w:rsidRPr="00815B3E">
        <w:rPr>
          <w:rFonts w:cs="Times New Roman"/>
          <w:color w:val="000000" w:themeColor="text1"/>
          <w:szCs w:val="28"/>
        </w:rPr>
        <w:t xml:space="preserve"> om selskaber m.v., der er skattemæssigt hjemmehørende i udlandet, men som samtidig er begrænset skattepligtige til Danmark. </w:t>
      </w:r>
    </w:p>
    <w:p w14:paraId="767588EF" w14:textId="09D005BC" w:rsidR="009D526D" w:rsidRPr="00815B3E" w:rsidRDefault="0060181E" w:rsidP="00673631">
      <w:pPr>
        <w:spacing w:after="240"/>
        <w:rPr>
          <w:rFonts w:cs="Times New Roman"/>
          <w:color w:val="000000" w:themeColor="text1"/>
          <w:szCs w:val="28"/>
        </w:rPr>
      </w:pPr>
      <w:r w:rsidRPr="00815B3E">
        <w:rPr>
          <w:rFonts w:cs="Times New Roman"/>
          <w:color w:val="000000" w:themeColor="text1"/>
          <w:szCs w:val="28"/>
        </w:rPr>
        <w:t>Selskabsskattelovens § 2, stk. 1, litra a</w:t>
      </w:r>
      <w:r w:rsidR="00574D3D" w:rsidRPr="00815B3E">
        <w:rPr>
          <w:rFonts w:cs="Times New Roman"/>
          <w:color w:val="000000" w:themeColor="text1"/>
          <w:szCs w:val="28"/>
        </w:rPr>
        <w:t>,</w:t>
      </w:r>
      <w:r w:rsidRPr="00815B3E">
        <w:rPr>
          <w:rFonts w:cs="Times New Roman"/>
          <w:color w:val="000000" w:themeColor="text1"/>
          <w:szCs w:val="28"/>
        </w:rPr>
        <w:t xml:space="preserve"> indeholder </w:t>
      </w:r>
      <w:r w:rsidR="009D526D" w:rsidRPr="00815B3E">
        <w:rPr>
          <w:rFonts w:cs="Times New Roman"/>
          <w:color w:val="000000" w:themeColor="text1"/>
          <w:szCs w:val="28"/>
        </w:rPr>
        <w:t xml:space="preserve">en </w:t>
      </w:r>
      <w:r w:rsidRPr="00815B3E">
        <w:rPr>
          <w:rFonts w:cs="Times New Roman"/>
          <w:color w:val="000000" w:themeColor="text1"/>
          <w:szCs w:val="28"/>
        </w:rPr>
        <w:t xml:space="preserve">bestemmelse om </w:t>
      </w:r>
      <w:r w:rsidR="00574D3D" w:rsidRPr="00815B3E">
        <w:rPr>
          <w:rFonts w:cs="Times New Roman"/>
          <w:color w:val="000000" w:themeColor="text1"/>
          <w:szCs w:val="28"/>
        </w:rPr>
        <w:t xml:space="preserve">begrænset </w:t>
      </w:r>
      <w:r w:rsidRPr="00815B3E">
        <w:rPr>
          <w:rFonts w:cs="Times New Roman"/>
          <w:color w:val="000000" w:themeColor="text1"/>
          <w:szCs w:val="28"/>
        </w:rPr>
        <w:t>skattepligt</w:t>
      </w:r>
      <w:r w:rsidR="009D526D" w:rsidRPr="00815B3E">
        <w:rPr>
          <w:rFonts w:cs="Times New Roman"/>
          <w:color w:val="000000" w:themeColor="text1"/>
          <w:szCs w:val="28"/>
        </w:rPr>
        <w:t xml:space="preserve"> i Danmark</w:t>
      </w:r>
      <w:r w:rsidRPr="00815B3E">
        <w:rPr>
          <w:rFonts w:cs="Times New Roman"/>
          <w:color w:val="000000" w:themeColor="text1"/>
          <w:szCs w:val="28"/>
        </w:rPr>
        <w:t xml:space="preserve"> for udenlandske selskaber</w:t>
      </w:r>
      <w:r w:rsidR="00574D3D" w:rsidRPr="00815B3E">
        <w:rPr>
          <w:rFonts w:cs="Times New Roman"/>
          <w:color w:val="000000" w:themeColor="text1"/>
          <w:szCs w:val="28"/>
        </w:rPr>
        <w:t>s</w:t>
      </w:r>
      <w:r w:rsidRPr="00815B3E">
        <w:rPr>
          <w:rFonts w:cs="Times New Roman"/>
          <w:color w:val="000000" w:themeColor="text1"/>
          <w:szCs w:val="28"/>
        </w:rPr>
        <w:t xml:space="preserve"> faste driftssted i Danmark</w:t>
      </w:r>
      <w:r w:rsidR="009D526D" w:rsidRPr="00815B3E">
        <w:rPr>
          <w:rFonts w:cs="Times New Roman"/>
          <w:color w:val="000000" w:themeColor="text1"/>
          <w:szCs w:val="28"/>
        </w:rPr>
        <w:t xml:space="preserve">. Skattepligten omfatter </w:t>
      </w:r>
      <w:r w:rsidR="006E1D83">
        <w:rPr>
          <w:rFonts w:cs="Times New Roman"/>
          <w:color w:val="000000" w:themeColor="text1"/>
          <w:szCs w:val="28"/>
        </w:rPr>
        <w:t>virksomhed</w:t>
      </w:r>
      <w:r w:rsidR="009D526D" w:rsidRPr="00815B3E">
        <w:rPr>
          <w:rFonts w:cs="Times New Roman"/>
          <w:color w:val="000000" w:themeColor="text1"/>
          <w:szCs w:val="28"/>
        </w:rPr>
        <w:t xml:space="preserve">, der udøves fra </w:t>
      </w:r>
      <w:r w:rsidRPr="00815B3E">
        <w:rPr>
          <w:rFonts w:cs="Times New Roman"/>
          <w:color w:val="000000" w:themeColor="text1"/>
          <w:szCs w:val="28"/>
        </w:rPr>
        <w:t>et fast driftssted her i landet</w:t>
      </w:r>
      <w:r w:rsidR="006E1D83">
        <w:rPr>
          <w:rFonts w:cs="Times New Roman"/>
          <w:color w:val="000000" w:themeColor="text1"/>
          <w:szCs w:val="28"/>
        </w:rPr>
        <w:t xml:space="preserve">, dvs. </w:t>
      </w:r>
      <w:r w:rsidR="006E1D83" w:rsidRPr="006E1D83">
        <w:rPr>
          <w:rFonts w:cs="Times New Roman"/>
          <w:color w:val="000000" w:themeColor="text1"/>
          <w:szCs w:val="28"/>
        </w:rPr>
        <w:t>et forretningsste</w:t>
      </w:r>
      <w:r w:rsidR="006E1D83">
        <w:rPr>
          <w:rFonts w:cs="Times New Roman"/>
          <w:color w:val="000000" w:themeColor="text1"/>
          <w:szCs w:val="28"/>
        </w:rPr>
        <w:t>d</w:t>
      </w:r>
      <w:r w:rsidR="006E1D83" w:rsidRPr="006E1D83">
        <w:rPr>
          <w:rFonts w:cs="Times New Roman"/>
          <w:color w:val="000000" w:themeColor="text1"/>
          <w:szCs w:val="28"/>
        </w:rPr>
        <w:t>, hvorfra et foretagendes forretnings</w:t>
      </w:r>
      <w:r w:rsidR="006E1D83" w:rsidRPr="006E1D83">
        <w:rPr>
          <w:rFonts w:cs="Times New Roman"/>
          <w:color w:val="000000" w:themeColor="text1"/>
          <w:szCs w:val="28"/>
        </w:rPr>
        <w:lastRenderedPageBreak/>
        <w:t>mæssige virksomhed udøves helt eller delvis</w:t>
      </w:r>
      <w:r w:rsidRPr="00815B3E">
        <w:rPr>
          <w:rFonts w:cs="Times New Roman"/>
          <w:color w:val="000000" w:themeColor="text1"/>
          <w:szCs w:val="28"/>
        </w:rPr>
        <w:t xml:space="preserve">. </w:t>
      </w:r>
      <w:r w:rsidR="009D526D" w:rsidRPr="00815B3E">
        <w:rPr>
          <w:rFonts w:cs="Times New Roman"/>
          <w:color w:val="000000" w:themeColor="text1"/>
          <w:szCs w:val="28"/>
        </w:rPr>
        <w:t>Den foreslåede lagerbeskatning vil således omfatte ejendomme i Danmark, der indgår i et sådant fast driftssted i Danmark.</w:t>
      </w:r>
    </w:p>
    <w:p w14:paraId="63238066" w14:textId="7D7B5826" w:rsidR="009D526D" w:rsidRPr="00815B3E" w:rsidRDefault="0060181E" w:rsidP="00673631">
      <w:pPr>
        <w:spacing w:after="240"/>
        <w:rPr>
          <w:rFonts w:cs="Times New Roman"/>
          <w:color w:val="000000" w:themeColor="text1"/>
          <w:szCs w:val="28"/>
        </w:rPr>
      </w:pPr>
      <w:r w:rsidRPr="00815B3E">
        <w:rPr>
          <w:rFonts w:cs="Times New Roman"/>
          <w:color w:val="000000" w:themeColor="text1"/>
          <w:szCs w:val="28"/>
        </w:rPr>
        <w:t>Selskabsskattelovens § 2 stk. 1, litra b</w:t>
      </w:r>
      <w:r w:rsidR="00862DBC" w:rsidRPr="00815B3E">
        <w:rPr>
          <w:rFonts w:cs="Times New Roman"/>
          <w:color w:val="000000" w:themeColor="text1"/>
          <w:szCs w:val="28"/>
        </w:rPr>
        <w:t>,</w:t>
      </w:r>
      <w:r w:rsidRPr="00815B3E">
        <w:rPr>
          <w:rFonts w:cs="Times New Roman"/>
          <w:color w:val="000000" w:themeColor="text1"/>
          <w:szCs w:val="28"/>
        </w:rPr>
        <w:t xml:space="preserve"> fastlægger, at selskaber er begrænset skattepligtige</w:t>
      </w:r>
      <w:r w:rsidR="009D526D" w:rsidRPr="00815B3E">
        <w:rPr>
          <w:rFonts w:cs="Times New Roman"/>
          <w:color w:val="000000" w:themeColor="text1"/>
          <w:szCs w:val="28"/>
        </w:rPr>
        <w:t xml:space="preserve"> til Danmark</w:t>
      </w:r>
      <w:r w:rsidRPr="00815B3E">
        <w:rPr>
          <w:rFonts w:cs="Times New Roman"/>
          <w:color w:val="000000" w:themeColor="text1"/>
          <w:szCs w:val="28"/>
        </w:rPr>
        <w:t xml:space="preserve"> for så vidt de i egenskab af ejer, medejer, brugs- eller indtægtsnyder oppebærer indtægt af en her i landet beliggende fast ejendom. Skattepligten omfatter endvidere fortjeneste ved afståelse af fast ejendom omfattet af ejendomsavancebeskatningsloven eller afskrivningslovens § 21.</w:t>
      </w:r>
      <w:r w:rsidR="00DD2A01" w:rsidRPr="00815B3E">
        <w:rPr>
          <w:rFonts w:cs="Times New Roman"/>
          <w:color w:val="000000" w:themeColor="text1"/>
          <w:szCs w:val="28"/>
        </w:rPr>
        <w:t xml:space="preserve"> </w:t>
      </w:r>
    </w:p>
    <w:p w14:paraId="167A45FB" w14:textId="1AED20D8" w:rsidR="00862DBC" w:rsidRPr="00815B3E" w:rsidRDefault="00DD2A01" w:rsidP="00673631">
      <w:pPr>
        <w:spacing w:after="240"/>
        <w:rPr>
          <w:rFonts w:cs="Times New Roman"/>
          <w:color w:val="000000" w:themeColor="text1"/>
          <w:szCs w:val="28"/>
        </w:rPr>
      </w:pPr>
      <w:r w:rsidRPr="00815B3E">
        <w:rPr>
          <w:rFonts w:cs="Times New Roman"/>
          <w:color w:val="000000" w:themeColor="text1"/>
          <w:szCs w:val="28"/>
        </w:rPr>
        <w:t>Det følger således af selskabsskattelovens § 2, stk. 1, litra b, at udenlandske selskaber er begrænset skattepligtige af deres ejendomsavancer til Danmark og</w:t>
      </w:r>
      <w:r w:rsidR="00862DBC" w:rsidRPr="00815B3E">
        <w:rPr>
          <w:rFonts w:cs="Times New Roman"/>
          <w:color w:val="000000" w:themeColor="text1"/>
          <w:szCs w:val="28"/>
        </w:rPr>
        <w:t xml:space="preserve"> af</w:t>
      </w:r>
      <w:r w:rsidRPr="00815B3E">
        <w:rPr>
          <w:rFonts w:cs="Times New Roman"/>
          <w:color w:val="000000" w:themeColor="text1"/>
          <w:szCs w:val="28"/>
        </w:rPr>
        <w:t xml:space="preserve"> den indtægt, som ejendommen måtte indbringe i form af f.eks. lejeindtægter. </w:t>
      </w:r>
    </w:p>
    <w:p w14:paraId="5BFB8B2D" w14:textId="753C89E7" w:rsidR="00DD2A01" w:rsidRPr="00815B3E" w:rsidRDefault="00F11DF9" w:rsidP="00673631">
      <w:pPr>
        <w:spacing w:after="240"/>
        <w:rPr>
          <w:rFonts w:cs="Times New Roman"/>
          <w:color w:val="000000" w:themeColor="text1"/>
          <w:szCs w:val="28"/>
        </w:rPr>
      </w:pPr>
      <w:r w:rsidRPr="00815B3E">
        <w:rPr>
          <w:rFonts w:cs="Times New Roman"/>
          <w:color w:val="000000" w:themeColor="text1"/>
          <w:szCs w:val="28"/>
        </w:rPr>
        <w:t xml:space="preserve">I lovforslagets § </w:t>
      </w:r>
      <w:r w:rsidR="005565E7">
        <w:rPr>
          <w:rFonts w:cs="Times New Roman"/>
          <w:color w:val="000000" w:themeColor="text1"/>
          <w:szCs w:val="28"/>
        </w:rPr>
        <w:t>6</w:t>
      </w:r>
      <w:r w:rsidR="00E06FA3">
        <w:rPr>
          <w:rFonts w:cs="Times New Roman"/>
          <w:color w:val="000000" w:themeColor="text1"/>
          <w:szCs w:val="28"/>
        </w:rPr>
        <w:t>,</w:t>
      </w:r>
      <w:r w:rsidRPr="00815B3E">
        <w:rPr>
          <w:rFonts w:cs="Times New Roman"/>
          <w:color w:val="000000" w:themeColor="text1"/>
          <w:szCs w:val="28"/>
        </w:rPr>
        <w:t xml:space="preserve"> nr. 1</w:t>
      </w:r>
      <w:r w:rsidR="00862DBC" w:rsidRPr="00815B3E">
        <w:rPr>
          <w:rFonts w:cs="Times New Roman"/>
          <w:color w:val="000000" w:themeColor="text1"/>
          <w:szCs w:val="28"/>
        </w:rPr>
        <w:t>,</w:t>
      </w:r>
      <w:r w:rsidRPr="00815B3E">
        <w:rPr>
          <w:rFonts w:cs="Times New Roman"/>
          <w:color w:val="000000" w:themeColor="text1"/>
          <w:szCs w:val="28"/>
        </w:rPr>
        <w:t xml:space="preserve"> foreslås det præciseret i selskabsskattelovens § 2, stk. 1, litra b, 2. pkt., at bestemmelsen ikke kun omfatter fortjeneste ”ved afståelse” af fast ejendom, </w:t>
      </w:r>
      <w:r w:rsidR="003E52D0">
        <w:rPr>
          <w:rFonts w:cs="Times New Roman"/>
          <w:color w:val="000000" w:themeColor="text1"/>
          <w:szCs w:val="28"/>
        </w:rPr>
        <w:t>men at der kan være tale om beskatning på andet grundlag. Herved tydeliggøres det</w:t>
      </w:r>
      <w:r w:rsidRPr="00815B3E">
        <w:rPr>
          <w:rFonts w:cs="Times New Roman"/>
          <w:color w:val="000000" w:themeColor="text1"/>
          <w:szCs w:val="28"/>
        </w:rPr>
        <w:t>, at skattepligten efter bestemmelsen også omfatter beskatning af selskabers ejendomsavancer efter det foreslåede lagerprincip.</w:t>
      </w:r>
    </w:p>
    <w:p w14:paraId="03037B57" w14:textId="3982FE87" w:rsidR="0036551B" w:rsidRPr="00815B3E" w:rsidRDefault="00DD2A01" w:rsidP="00673631">
      <w:pPr>
        <w:spacing w:after="240"/>
        <w:rPr>
          <w:rFonts w:cs="Times New Roman"/>
          <w:color w:val="000000" w:themeColor="text1"/>
          <w:szCs w:val="28"/>
        </w:rPr>
      </w:pPr>
      <w:r w:rsidRPr="00815B3E">
        <w:rPr>
          <w:rFonts w:cs="Times New Roman"/>
          <w:color w:val="000000" w:themeColor="text1"/>
          <w:szCs w:val="28"/>
        </w:rPr>
        <w:t xml:space="preserve">Kredsen af skattepligtige, der foreslås omfattet af det nye kapitel 3 i ejendomsavancebeskatningsloven, dækker således over både danske og udenlandske selskaber </w:t>
      </w:r>
      <w:r w:rsidR="00862DBC" w:rsidRPr="00815B3E">
        <w:rPr>
          <w:rFonts w:cs="Times New Roman"/>
          <w:color w:val="000000" w:themeColor="text1"/>
          <w:szCs w:val="28"/>
        </w:rPr>
        <w:t xml:space="preserve">og </w:t>
      </w:r>
      <w:r w:rsidRPr="00815B3E">
        <w:rPr>
          <w:rFonts w:cs="Times New Roman"/>
          <w:color w:val="000000" w:themeColor="text1"/>
          <w:szCs w:val="28"/>
        </w:rPr>
        <w:t>foreninger m</w:t>
      </w:r>
      <w:r w:rsidR="005565E7">
        <w:rPr>
          <w:rFonts w:cs="Times New Roman"/>
          <w:color w:val="000000" w:themeColor="text1"/>
          <w:szCs w:val="28"/>
        </w:rPr>
        <w:t>.</w:t>
      </w:r>
      <w:r w:rsidRPr="00815B3E">
        <w:rPr>
          <w:rFonts w:cs="Times New Roman"/>
          <w:color w:val="000000" w:themeColor="text1"/>
          <w:szCs w:val="28"/>
        </w:rPr>
        <w:t>v., der er henholdsvis fuldt eller begrænset skattepligtige til Danmark</w:t>
      </w:r>
      <w:r w:rsidR="00063F85" w:rsidRPr="00815B3E">
        <w:rPr>
          <w:rFonts w:cs="Times New Roman"/>
          <w:color w:val="000000" w:themeColor="text1"/>
          <w:szCs w:val="28"/>
        </w:rPr>
        <w:t xml:space="preserve"> af indkomst og avancer fra fast ejendom beliggende i Danmark</w:t>
      </w:r>
      <w:r w:rsidRPr="00815B3E">
        <w:rPr>
          <w:rFonts w:cs="Times New Roman"/>
          <w:color w:val="000000" w:themeColor="text1"/>
          <w:szCs w:val="28"/>
        </w:rPr>
        <w:t xml:space="preserve">. </w:t>
      </w:r>
    </w:p>
    <w:p w14:paraId="5D271AC3" w14:textId="5436B28A" w:rsidR="00517EC2" w:rsidRPr="00815B3E" w:rsidRDefault="00063F85" w:rsidP="00673631">
      <w:pPr>
        <w:spacing w:after="240"/>
        <w:rPr>
          <w:rFonts w:cs="Times New Roman"/>
          <w:color w:val="000000" w:themeColor="text1"/>
          <w:szCs w:val="28"/>
        </w:rPr>
      </w:pPr>
      <w:r w:rsidRPr="00815B3E">
        <w:rPr>
          <w:rFonts w:cs="Times New Roman"/>
          <w:color w:val="000000" w:themeColor="text1"/>
          <w:szCs w:val="28"/>
        </w:rPr>
        <w:t xml:space="preserve">Det foreslås i </w:t>
      </w:r>
      <w:r w:rsidR="00F11DF9" w:rsidRPr="00815B3E">
        <w:rPr>
          <w:rFonts w:cs="Times New Roman"/>
          <w:color w:val="000000" w:themeColor="text1"/>
          <w:szCs w:val="28"/>
        </w:rPr>
        <w:t xml:space="preserve">ejendomsavancebeskatningslovens </w:t>
      </w:r>
      <w:r w:rsidRPr="00815B3E">
        <w:rPr>
          <w:rFonts w:cs="Times New Roman"/>
          <w:color w:val="000000" w:themeColor="text1"/>
          <w:szCs w:val="28"/>
        </w:rPr>
        <w:t>§ 14</w:t>
      </w:r>
      <w:r w:rsidR="00E06FA3">
        <w:rPr>
          <w:rFonts w:cs="Times New Roman"/>
          <w:color w:val="000000" w:themeColor="text1"/>
          <w:szCs w:val="28"/>
        </w:rPr>
        <w:t>,</w:t>
      </w:r>
      <w:r w:rsidRPr="00815B3E">
        <w:rPr>
          <w:rFonts w:cs="Times New Roman"/>
          <w:color w:val="000000" w:themeColor="text1"/>
          <w:szCs w:val="28"/>
        </w:rPr>
        <w:t xml:space="preserve"> stk. 1, </w:t>
      </w:r>
      <w:r w:rsidR="003E52D0">
        <w:rPr>
          <w:rFonts w:cs="Times New Roman"/>
          <w:color w:val="000000" w:themeColor="text1"/>
          <w:szCs w:val="28"/>
        </w:rPr>
        <w:t xml:space="preserve">at fastsætte, </w:t>
      </w:r>
      <w:r w:rsidRPr="00815B3E">
        <w:rPr>
          <w:rFonts w:cs="Times New Roman"/>
          <w:color w:val="000000" w:themeColor="text1"/>
          <w:szCs w:val="28"/>
        </w:rPr>
        <w:t xml:space="preserve">at disse skattepligtige ved opgørelsen af den skattepligtige indkomst skal medregne </w:t>
      </w:r>
      <w:proofErr w:type="spellStart"/>
      <w:r w:rsidRPr="00815B3E">
        <w:rPr>
          <w:rFonts w:cs="Times New Roman"/>
          <w:color w:val="000000" w:themeColor="text1"/>
          <w:szCs w:val="28"/>
        </w:rPr>
        <w:t>urealiseret</w:t>
      </w:r>
      <w:proofErr w:type="spellEnd"/>
      <w:r w:rsidRPr="00815B3E">
        <w:rPr>
          <w:rFonts w:cs="Times New Roman"/>
          <w:color w:val="000000" w:themeColor="text1"/>
          <w:szCs w:val="28"/>
        </w:rPr>
        <w:t xml:space="preserve"> gevinster på visse ejendomme</w:t>
      </w:r>
      <w:r w:rsidR="00862DBC" w:rsidRPr="00815B3E">
        <w:rPr>
          <w:rFonts w:cs="Times New Roman"/>
          <w:color w:val="000000" w:themeColor="text1"/>
          <w:szCs w:val="28"/>
        </w:rPr>
        <w:t xml:space="preserve"> efter det foreslåede lagerprincip</w:t>
      </w:r>
      <w:r w:rsidR="00F11DF9" w:rsidRPr="00815B3E">
        <w:rPr>
          <w:rFonts w:cs="Times New Roman"/>
          <w:color w:val="000000" w:themeColor="text1"/>
          <w:szCs w:val="28"/>
        </w:rPr>
        <w:t>,</w:t>
      </w:r>
      <w:r w:rsidRPr="00815B3E">
        <w:rPr>
          <w:rFonts w:cs="Times New Roman"/>
          <w:color w:val="000000" w:themeColor="text1"/>
          <w:szCs w:val="28"/>
        </w:rPr>
        <w:t xml:space="preserve"> når ejendommen lever op til </w:t>
      </w:r>
      <w:r w:rsidR="00862DBC" w:rsidRPr="00815B3E">
        <w:rPr>
          <w:rFonts w:cs="Times New Roman"/>
          <w:color w:val="000000" w:themeColor="text1"/>
          <w:szCs w:val="28"/>
        </w:rPr>
        <w:t xml:space="preserve">to </w:t>
      </w:r>
      <w:r w:rsidRPr="00815B3E">
        <w:rPr>
          <w:rFonts w:cs="Times New Roman"/>
          <w:color w:val="000000" w:themeColor="text1"/>
          <w:szCs w:val="28"/>
        </w:rPr>
        <w:t xml:space="preserve">betingelser. </w:t>
      </w:r>
    </w:p>
    <w:p w14:paraId="3BB5A961" w14:textId="2CD4504B" w:rsidR="005E2D41" w:rsidRPr="00815B3E" w:rsidRDefault="00063F85" w:rsidP="0020694E">
      <w:pPr>
        <w:spacing w:after="240"/>
        <w:rPr>
          <w:rFonts w:cs="Times New Roman"/>
          <w:color w:val="000000" w:themeColor="text1"/>
          <w:szCs w:val="28"/>
        </w:rPr>
      </w:pPr>
      <w:r w:rsidRPr="00815B3E">
        <w:rPr>
          <w:rFonts w:cs="Times New Roman"/>
          <w:color w:val="000000" w:themeColor="text1"/>
          <w:szCs w:val="28"/>
        </w:rPr>
        <w:t>Den</w:t>
      </w:r>
      <w:r w:rsidRPr="00406204">
        <w:rPr>
          <w:rFonts w:cs="Times New Roman"/>
          <w:color w:val="000000" w:themeColor="text1"/>
          <w:szCs w:val="28"/>
        </w:rPr>
        <w:t xml:space="preserve"> </w:t>
      </w:r>
      <w:r w:rsidRPr="00255CB9">
        <w:rPr>
          <w:rFonts w:cs="Times New Roman"/>
          <w:color w:val="000000" w:themeColor="text1"/>
          <w:szCs w:val="28"/>
        </w:rPr>
        <w:t>første betingelse</w:t>
      </w:r>
      <w:r w:rsidRPr="00406204">
        <w:rPr>
          <w:rFonts w:cs="Times New Roman"/>
          <w:color w:val="000000" w:themeColor="text1"/>
          <w:szCs w:val="28"/>
        </w:rPr>
        <w:t xml:space="preserve"> </w:t>
      </w:r>
      <w:r w:rsidR="00F11DF9" w:rsidRPr="00815B3E">
        <w:rPr>
          <w:rFonts w:cs="Times New Roman"/>
          <w:color w:val="000000" w:themeColor="text1"/>
          <w:szCs w:val="28"/>
        </w:rPr>
        <w:t xml:space="preserve">foreslås at være, at </w:t>
      </w:r>
      <w:r w:rsidRPr="00815B3E">
        <w:rPr>
          <w:rFonts w:cs="Times New Roman"/>
          <w:color w:val="000000" w:themeColor="text1"/>
          <w:szCs w:val="28"/>
        </w:rPr>
        <w:t>ejendommen udlejes i overvejende omfang på noget tidspunkt i den skattepligtiges indkomstår.</w:t>
      </w:r>
      <w:r w:rsidR="0020694E" w:rsidRPr="00815B3E">
        <w:rPr>
          <w:rFonts w:cs="Times New Roman"/>
          <w:color w:val="000000" w:themeColor="text1"/>
          <w:szCs w:val="28"/>
        </w:rPr>
        <w:t xml:space="preserve"> </w:t>
      </w:r>
      <w:r w:rsidR="00F11DF9" w:rsidRPr="00815B3E">
        <w:rPr>
          <w:rFonts w:cs="Times New Roman"/>
          <w:color w:val="000000" w:themeColor="text1"/>
          <w:szCs w:val="28"/>
        </w:rPr>
        <w:t xml:space="preserve">At ejendommen ”på noget tidspunkt” udlejes i </w:t>
      </w:r>
      <w:r w:rsidR="005E2D41" w:rsidRPr="00815B3E">
        <w:rPr>
          <w:rFonts w:cs="Times New Roman"/>
          <w:color w:val="000000" w:themeColor="text1"/>
          <w:szCs w:val="28"/>
        </w:rPr>
        <w:t xml:space="preserve">overvejende omfang vil være opfyldt, selv om det kun er i en kortvarig periode i løbet af indkomståret, at ejendommen har været udlejet i overvejende omfang, og selv om ejendommen ved indkomstårets udgang ikke længere er udlejet. </w:t>
      </w:r>
    </w:p>
    <w:p w14:paraId="6BE4C638" w14:textId="44479D63" w:rsidR="00F11DF9" w:rsidRPr="00815B3E" w:rsidRDefault="005E2D41" w:rsidP="0020694E">
      <w:pPr>
        <w:spacing w:after="240"/>
        <w:rPr>
          <w:rFonts w:cs="Times New Roman"/>
          <w:color w:val="000000" w:themeColor="text1"/>
          <w:szCs w:val="28"/>
        </w:rPr>
      </w:pPr>
      <w:r w:rsidRPr="00815B3E">
        <w:rPr>
          <w:rFonts w:cs="Times New Roman"/>
          <w:color w:val="000000" w:themeColor="text1"/>
          <w:szCs w:val="28"/>
        </w:rPr>
        <w:t xml:space="preserve">En ejendom, der ved købet er udlejet i overvejende omfang, og efter opsigelse af lejerne herefter anvendes i selskabets egen drift, vil således efter </w:t>
      </w:r>
      <w:r w:rsidRPr="00815B3E">
        <w:rPr>
          <w:rFonts w:cs="Times New Roman"/>
          <w:color w:val="000000" w:themeColor="text1"/>
          <w:szCs w:val="28"/>
        </w:rPr>
        <w:lastRenderedPageBreak/>
        <w:t xml:space="preserve">forslaget opfylde kriterierne for at blive anset for en udlejningsejendom. </w:t>
      </w:r>
      <w:r w:rsidR="00862DBC" w:rsidRPr="00815B3E">
        <w:rPr>
          <w:rFonts w:cs="Times New Roman"/>
          <w:color w:val="000000" w:themeColor="text1"/>
          <w:szCs w:val="28"/>
        </w:rPr>
        <w:t xml:space="preserve">Den vil således blive omfattet af den foreslåede lagerbeskatning, hvis </w:t>
      </w:r>
      <w:r w:rsidRPr="00815B3E">
        <w:rPr>
          <w:rFonts w:cs="Times New Roman"/>
          <w:color w:val="000000" w:themeColor="text1"/>
          <w:szCs w:val="28"/>
        </w:rPr>
        <w:t xml:space="preserve">betingelsen i den foreslåede § 14, stk. 1, nr. 2, om en værdi af ejendomsporteføljen på mere end 100 mio. kr. ligeledes er opfyldt i samme indkomstår.  </w:t>
      </w:r>
    </w:p>
    <w:p w14:paraId="2F0E2830" w14:textId="77656C07" w:rsidR="00FE255A" w:rsidRPr="00815B3E" w:rsidRDefault="0020694E" w:rsidP="0020694E">
      <w:pPr>
        <w:spacing w:after="240"/>
        <w:rPr>
          <w:rFonts w:cs="Times New Roman"/>
          <w:color w:val="000000" w:themeColor="text1"/>
          <w:szCs w:val="28"/>
        </w:rPr>
      </w:pPr>
      <w:r w:rsidRPr="00815B3E">
        <w:rPr>
          <w:rFonts w:cs="Times New Roman"/>
          <w:color w:val="000000" w:themeColor="text1"/>
          <w:szCs w:val="28"/>
        </w:rPr>
        <w:t xml:space="preserve">Hvad der forstås ved udlejning i overvejende omfang foreslås præciseret i </w:t>
      </w:r>
      <w:r w:rsidR="00F11DF9" w:rsidRPr="00815B3E">
        <w:rPr>
          <w:rFonts w:cs="Times New Roman"/>
          <w:color w:val="000000" w:themeColor="text1"/>
          <w:szCs w:val="28"/>
        </w:rPr>
        <w:t xml:space="preserve">ejendomsavancebeskatningslovens § 14, </w:t>
      </w:r>
      <w:r w:rsidRPr="00815B3E">
        <w:rPr>
          <w:rFonts w:cs="Times New Roman"/>
          <w:color w:val="000000" w:themeColor="text1"/>
          <w:szCs w:val="28"/>
        </w:rPr>
        <w:t>stk. 2, jf. nærmere nedenfor.</w:t>
      </w:r>
    </w:p>
    <w:p w14:paraId="59044BAE" w14:textId="6700A6FC" w:rsidR="003A43B4" w:rsidRDefault="00FE255A" w:rsidP="00B9459B">
      <w:pPr>
        <w:spacing w:after="240"/>
        <w:rPr>
          <w:rFonts w:cs="Times New Roman"/>
          <w:color w:val="000000" w:themeColor="text1"/>
          <w:szCs w:val="28"/>
        </w:rPr>
      </w:pPr>
      <w:r w:rsidRPr="00815B3E">
        <w:rPr>
          <w:rFonts w:cs="Times New Roman"/>
          <w:color w:val="000000" w:themeColor="text1"/>
          <w:szCs w:val="28"/>
        </w:rPr>
        <w:t>Den</w:t>
      </w:r>
      <w:r w:rsidRPr="00406204">
        <w:rPr>
          <w:rFonts w:cs="Times New Roman"/>
          <w:color w:val="000000" w:themeColor="text1"/>
          <w:szCs w:val="28"/>
        </w:rPr>
        <w:t xml:space="preserve"> </w:t>
      </w:r>
      <w:r w:rsidRPr="00255CB9">
        <w:rPr>
          <w:rFonts w:cs="Times New Roman"/>
          <w:color w:val="000000" w:themeColor="text1"/>
          <w:szCs w:val="28"/>
        </w:rPr>
        <w:t>anden betingelse</w:t>
      </w:r>
      <w:r w:rsidR="00B9459B" w:rsidRPr="00406204">
        <w:rPr>
          <w:rFonts w:cs="Times New Roman"/>
          <w:color w:val="000000" w:themeColor="text1"/>
          <w:szCs w:val="28"/>
        </w:rPr>
        <w:t xml:space="preserve"> </w:t>
      </w:r>
      <w:r w:rsidR="00B9459B" w:rsidRPr="00815B3E">
        <w:rPr>
          <w:rFonts w:cs="Times New Roman"/>
          <w:color w:val="000000" w:themeColor="text1"/>
          <w:szCs w:val="28"/>
        </w:rPr>
        <w:t>for</w:t>
      </w:r>
      <w:r w:rsidR="005E2D41" w:rsidRPr="00815B3E">
        <w:rPr>
          <w:rFonts w:cs="Times New Roman"/>
          <w:color w:val="000000" w:themeColor="text1"/>
          <w:szCs w:val="28"/>
        </w:rPr>
        <w:t>, at den foreslåede lagerbeskatning</w:t>
      </w:r>
      <w:r w:rsidR="003A43B4" w:rsidRPr="00815B3E">
        <w:rPr>
          <w:rFonts w:cs="Times New Roman"/>
          <w:color w:val="000000" w:themeColor="text1"/>
          <w:szCs w:val="28"/>
        </w:rPr>
        <w:t xml:space="preserve"> indtræder</w:t>
      </w:r>
      <w:r w:rsidR="00862DBC" w:rsidRPr="00815B3E">
        <w:rPr>
          <w:rFonts w:cs="Times New Roman"/>
          <w:color w:val="000000" w:themeColor="text1"/>
          <w:szCs w:val="28"/>
        </w:rPr>
        <w:t>,</w:t>
      </w:r>
      <w:r w:rsidR="005E2D41" w:rsidRPr="00815B3E">
        <w:rPr>
          <w:rFonts w:cs="Times New Roman"/>
          <w:color w:val="000000" w:themeColor="text1"/>
          <w:szCs w:val="28"/>
        </w:rPr>
        <w:t xml:space="preserve"> er, at </w:t>
      </w:r>
      <w:r w:rsidR="00B9459B" w:rsidRPr="00815B3E">
        <w:rPr>
          <w:rFonts w:cs="Times New Roman"/>
          <w:color w:val="000000" w:themeColor="text1"/>
          <w:szCs w:val="28"/>
        </w:rPr>
        <w:t xml:space="preserve">værdien af ejendomme </w:t>
      </w:r>
      <w:r w:rsidR="00285C51">
        <w:rPr>
          <w:rFonts w:cs="Times New Roman"/>
          <w:color w:val="000000" w:themeColor="text1"/>
          <w:szCs w:val="28"/>
        </w:rPr>
        <w:t>”</w:t>
      </w:r>
      <w:r w:rsidR="00B9459B" w:rsidRPr="00815B3E">
        <w:rPr>
          <w:rFonts w:cs="Times New Roman"/>
          <w:color w:val="000000" w:themeColor="text1"/>
          <w:szCs w:val="28"/>
        </w:rPr>
        <w:t>under dansk beskatning</w:t>
      </w:r>
      <w:r w:rsidR="00285C51">
        <w:rPr>
          <w:rFonts w:cs="Times New Roman"/>
          <w:color w:val="000000" w:themeColor="text1"/>
          <w:szCs w:val="28"/>
        </w:rPr>
        <w:t>”</w:t>
      </w:r>
      <w:r w:rsidR="00B9459B" w:rsidRPr="00815B3E">
        <w:rPr>
          <w:rFonts w:cs="Times New Roman"/>
          <w:color w:val="000000" w:themeColor="text1"/>
          <w:szCs w:val="28"/>
        </w:rPr>
        <w:t>, der udlejes i overvejende omfang, overstiger 100 mio. kr.  ved udløbet af den skattepligtiges indkomstår</w:t>
      </w:r>
      <w:r w:rsidR="005E2D41" w:rsidRPr="00815B3E">
        <w:rPr>
          <w:rFonts w:cs="Times New Roman"/>
          <w:color w:val="000000" w:themeColor="text1"/>
          <w:szCs w:val="28"/>
        </w:rPr>
        <w:t>, jf. den foreslåede bestemmelse i ejendomsavancebeskatningslovens § 14, stk. 1, litra 2.</w:t>
      </w:r>
      <w:r w:rsidR="00B9459B" w:rsidRPr="00815B3E">
        <w:rPr>
          <w:rFonts w:cs="Times New Roman"/>
          <w:color w:val="000000" w:themeColor="text1"/>
          <w:szCs w:val="28"/>
        </w:rPr>
        <w:t xml:space="preserve"> </w:t>
      </w:r>
      <w:r w:rsidR="00284A72" w:rsidRPr="00815B3E">
        <w:rPr>
          <w:rFonts w:cs="Times New Roman"/>
          <w:color w:val="000000" w:themeColor="text1"/>
          <w:szCs w:val="28"/>
        </w:rPr>
        <w:t xml:space="preserve">Der medregnes alene ejendomme, som selskabet </w:t>
      </w:r>
      <w:r w:rsidR="00862DBC" w:rsidRPr="00815B3E">
        <w:rPr>
          <w:rFonts w:cs="Times New Roman"/>
          <w:color w:val="000000" w:themeColor="text1"/>
          <w:szCs w:val="28"/>
        </w:rPr>
        <w:t xml:space="preserve">selv (eller interesseforbundne selskaber, jf. nedenfor) </w:t>
      </w:r>
      <w:r w:rsidR="00284A72" w:rsidRPr="00815B3E">
        <w:rPr>
          <w:rFonts w:cs="Times New Roman"/>
          <w:color w:val="000000" w:themeColor="text1"/>
          <w:szCs w:val="28"/>
        </w:rPr>
        <w:t>ejer på opgørelsestidspunktet.</w:t>
      </w:r>
    </w:p>
    <w:p w14:paraId="1C8BD3D2" w14:textId="11D0365C" w:rsidR="00520E74" w:rsidRDefault="00B0240E" w:rsidP="00520E74">
      <w:pPr>
        <w:spacing w:after="240"/>
        <w:rPr>
          <w:rFonts w:cs="Times New Roman"/>
          <w:color w:val="000000" w:themeColor="text1"/>
          <w:szCs w:val="28"/>
        </w:rPr>
      </w:pPr>
      <w:r>
        <w:rPr>
          <w:rFonts w:cs="Times New Roman"/>
          <w:color w:val="000000" w:themeColor="text1"/>
          <w:szCs w:val="28"/>
        </w:rPr>
        <w:t>Ejendomme under dansk beskatning omfatter</w:t>
      </w:r>
      <w:r w:rsidR="00285C51">
        <w:rPr>
          <w:rFonts w:cs="Times New Roman"/>
          <w:color w:val="000000" w:themeColor="text1"/>
          <w:szCs w:val="28"/>
        </w:rPr>
        <w:t xml:space="preserve"> efter forslaget</w:t>
      </w:r>
      <w:r>
        <w:rPr>
          <w:rFonts w:cs="Times New Roman"/>
          <w:color w:val="000000" w:themeColor="text1"/>
          <w:szCs w:val="28"/>
        </w:rPr>
        <w:t xml:space="preserve"> ejendomme beliggende i Danmark</w:t>
      </w:r>
      <w:r w:rsidR="00810C01">
        <w:rPr>
          <w:rFonts w:cs="Times New Roman"/>
          <w:color w:val="000000" w:themeColor="text1"/>
          <w:szCs w:val="28"/>
        </w:rPr>
        <w:t xml:space="preserve"> tilhørende selskaber, </w:t>
      </w:r>
      <w:r w:rsidR="00520E74">
        <w:rPr>
          <w:rFonts w:cs="Times New Roman"/>
          <w:color w:val="000000" w:themeColor="text1"/>
          <w:szCs w:val="28"/>
        </w:rPr>
        <w:t>der er fuldt skattepligtige efter selskabsskattelovens § 1</w:t>
      </w:r>
      <w:r w:rsidR="00D7596A">
        <w:rPr>
          <w:rFonts w:cs="Times New Roman"/>
          <w:color w:val="000000" w:themeColor="text1"/>
          <w:szCs w:val="28"/>
        </w:rPr>
        <w:t>,</w:t>
      </w:r>
      <w:r w:rsidR="00D7596A" w:rsidRPr="00D7596A">
        <w:rPr>
          <w:rFonts w:eastAsia="Calibri" w:cs="Times New Roman"/>
          <w:bCs/>
          <w:color w:val="000000" w:themeColor="text1"/>
          <w:szCs w:val="24"/>
        </w:rPr>
        <w:t xml:space="preserve"> </w:t>
      </w:r>
      <w:r w:rsidR="00D7596A" w:rsidRPr="00815B3E">
        <w:rPr>
          <w:rFonts w:eastAsia="Calibri" w:cs="Times New Roman"/>
          <w:bCs/>
          <w:color w:val="000000" w:themeColor="text1"/>
          <w:szCs w:val="24"/>
        </w:rPr>
        <w:t xml:space="preserve">stk. 1, </w:t>
      </w:r>
      <w:r w:rsidR="00D7596A">
        <w:rPr>
          <w:rFonts w:eastAsia="Calibri" w:cs="Times New Roman"/>
          <w:bCs/>
          <w:color w:val="000000" w:themeColor="text1"/>
          <w:szCs w:val="24"/>
        </w:rPr>
        <w:t>nr. 1-2j og 3a-6</w:t>
      </w:r>
      <w:r w:rsidR="00520E74">
        <w:rPr>
          <w:rFonts w:cs="Times New Roman"/>
          <w:color w:val="000000" w:themeColor="text1"/>
          <w:szCs w:val="28"/>
        </w:rPr>
        <w:t xml:space="preserve">. Det omfatter desuden ejendomme tilhørende selskaber, der er begrænset skattepligtige til Danmark af indkomst fra fast ejendom beliggende i Danmark efter selskabsskattelovens § 2, stk. 1, litra a eller b. </w:t>
      </w:r>
    </w:p>
    <w:p w14:paraId="4DEF41AA" w14:textId="2E835FD3" w:rsidR="003B2EFE" w:rsidRPr="00815B3E" w:rsidRDefault="00285C51" w:rsidP="00B9459B">
      <w:pPr>
        <w:spacing w:after="240"/>
        <w:rPr>
          <w:rFonts w:cs="Times New Roman"/>
          <w:color w:val="000000" w:themeColor="text1"/>
          <w:szCs w:val="28"/>
        </w:rPr>
      </w:pPr>
      <w:r>
        <w:rPr>
          <w:rFonts w:cs="Times New Roman"/>
          <w:color w:val="000000" w:themeColor="text1"/>
          <w:szCs w:val="28"/>
        </w:rPr>
        <w:t xml:space="preserve">Begrebet ”ejendomme under dansk beskatning” i den foreslåede § 14, stk. 1, </w:t>
      </w:r>
      <w:r w:rsidR="005565E7">
        <w:rPr>
          <w:rFonts w:cs="Times New Roman"/>
          <w:color w:val="000000" w:themeColor="text1"/>
          <w:szCs w:val="28"/>
        </w:rPr>
        <w:t>nr.</w:t>
      </w:r>
      <w:r>
        <w:rPr>
          <w:rFonts w:cs="Times New Roman"/>
          <w:color w:val="000000" w:themeColor="text1"/>
          <w:szCs w:val="28"/>
        </w:rPr>
        <w:t xml:space="preserve"> 2, i ejendomsavancebeskatningsloven, omfatter </w:t>
      </w:r>
      <w:r w:rsidR="00520E74">
        <w:rPr>
          <w:rFonts w:cs="Times New Roman"/>
          <w:color w:val="000000" w:themeColor="text1"/>
          <w:szCs w:val="28"/>
        </w:rPr>
        <w:t>herudover</w:t>
      </w:r>
      <w:r>
        <w:rPr>
          <w:rFonts w:cs="Times New Roman"/>
          <w:color w:val="000000" w:themeColor="text1"/>
          <w:szCs w:val="28"/>
        </w:rPr>
        <w:t xml:space="preserve"> udenlandske ejendomme tilhørende koncerner, der har</w:t>
      </w:r>
      <w:r w:rsidR="00B0240E">
        <w:rPr>
          <w:rFonts w:cs="Times New Roman"/>
          <w:color w:val="000000" w:themeColor="text1"/>
          <w:szCs w:val="28"/>
        </w:rPr>
        <w:t xml:space="preserve"> valgt international sambeskatning, jf. selskabsskattelovens § 31 </w:t>
      </w:r>
      <w:r w:rsidR="003C1301">
        <w:rPr>
          <w:rFonts w:cs="Times New Roman"/>
          <w:color w:val="000000" w:themeColor="text1"/>
          <w:szCs w:val="28"/>
        </w:rPr>
        <w:t>A</w:t>
      </w:r>
      <w:r>
        <w:rPr>
          <w:rFonts w:cs="Times New Roman"/>
          <w:color w:val="000000" w:themeColor="text1"/>
          <w:szCs w:val="28"/>
        </w:rPr>
        <w:t xml:space="preserve">. </w:t>
      </w:r>
      <w:r w:rsidR="004D2F3C">
        <w:rPr>
          <w:rFonts w:cs="Times New Roman"/>
          <w:color w:val="000000" w:themeColor="text1"/>
          <w:szCs w:val="28"/>
        </w:rPr>
        <w:t>D</w:t>
      </w:r>
      <w:r>
        <w:rPr>
          <w:rFonts w:cs="Times New Roman"/>
          <w:color w:val="000000" w:themeColor="text1"/>
          <w:szCs w:val="28"/>
        </w:rPr>
        <w:t xml:space="preserve">isse koncerner </w:t>
      </w:r>
      <w:r w:rsidR="004D2F3C">
        <w:rPr>
          <w:rFonts w:cs="Times New Roman"/>
          <w:color w:val="000000" w:themeColor="text1"/>
          <w:szCs w:val="28"/>
        </w:rPr>
        <w:t xml:space="preserve">vil </w:t>
      </w:r>
      <w:r>
        <w:rPr>
          <w:rFonts w:cs="Times New Roman"/>
          <w:color w:val="000000" w:themeColor="text1"/>
          <w:szCs w:val="28"/>
        </w:rPr>
        <w:t>således</w:t>
      </w:r>
      <w:r w:rsidR="004D2F3C">
        <w:rPr>
          <w:rFonts w:cs="Times New Roman"/>
          <w:color w:val="000000" w:themeColor="text1"/>
          <w:szCs w:val="28"/>
        </w:rPr>
        <w:t xml:space="preserve"> efter forslaget </w:t>
      </w:r>
      <w:r>
        <w:rPr>
          <w:rFonts w:cs="Times New Roman"/>
          <w:color w:val="000000" w:themeColor="text1"/>
          <w:szCs w:val="28"/>
        </w:rPr>
        <w:t>skulle medregne værdien af koncernens udenlandske ejendomme ved opgørelsen af de 100 mio. kr.</w:t>
      </w:r>
      <w:r w:rsidR="004D2F3C">
        <w:rPr>
          <w:rFonts w:cs="Times New Roman"/>
          <w:color w:val="000000" w:themeColor="text1"/>
          <w:szCs w:val="28"/>
        </w:rPr>
        <w:t>, ligesom de pågældende ejendomme vil være omfattet af lagerbeskatningen.</w:t>
      </w:r>
      <w:r>
        <w:rPr>
          <w:rFonts w:cs="Times New Roman"/>
          <w:color w:val="000000" w:themeColor="text1"/>
          <w:szCs w:val="28"/>
        </w:rPr>
        <w:t xml:space="preserve"> Det skyldes, at disse selskaber efter gældende regler skal medregne gevinst og tab på både danske og udenlandske ejendomme ved opgørelsen af den danske skattepligtige indkomst</w:t>
      </w:r>
      <w:r w:rsidR="00810C01">
        <w:rPr>
          <w:rFonts w:cs="Times New Roman"/>
          <w:color w:val="000000" w:themeColor="text1"/>
          <w:szCs w:val="28"/>
        </w:rPr>
        <w:t>.</w:t>
      </w:r>
      <w:r>
        <w:rPr>
          <w:rFonts w:cs="Times New Roman"/>
          <w:color w:val="000000" w:themeColor="text1"/>
          <w:szCs w:val="28"/>
        </w:rPr>
        <w:t xml:space="preserve"> </w:t>
      </w:r>
      <w:r w:rsidR="00810C01">
        <w:rPr>
          <w:rFonts w:cs="Times New Roman"/>
          <w:color w:val="000000" w:themeColor="text1"/>
          <w:szCs w:val="28"/>
        </w:rPr>
        <w:t xml:space="preserve"> </w:t>
      </w:r>
    </w:p>
    <w:p w14:paraId="3EBAFFF5" w14:textId="25773FDF" w:rsidR="00520E74" w:rsidRDefault="00520E74" w:rsidP="00520E74">
      <w:pPr>
        <w:spacing w:after="240"/>
        <w:rPr>
          <w:rFonts w:cs="Times New Roman"/>
          <w:color w:val="000000" w:themeColor="text1"/>
          <w:szCs w:val="28"/>
        </w:rPr>
      </w:pPr>
      <w:r>
        <w:rPr>
          <w:rFonts w:cs="Times New Roman"/>
          <w:color w:val="000000" w:themeColor="text1"/>
          <w:szCs w:val="28"/>
        </w:rPr>
        <w:t>Hvis der derimod ikke er valgt international sambeskatning</w:t>
      </w:r>
      <w:r w:rsidR="0095271F">
        <w:rPr>
          <w:rFonts w:cs="Times New Roman"/>
          <w:color w:val="000000" w:themeColor="text1"/>
          <w:szCs w:val="28"/>
        </w:rPr>
        <w:t>,</w:t>
      </w:r>
      <w:r>
        <w:rPr>
          <w:rFonts w:cs="Times New Roman"/>
          <w:color w:val="000000" w:themeColor="text1"/>
          <w:szCs w:val="28"/>
        </w:rPr>
        <w:t xml:space="preserve"> vil </w:t>
      </w:r>
      <w:r w:rsidR="0004256B">
        <w:rPr>
          <w:rFonts w:cs="Times New Roman"/>
          <w:color w:val="000000" w:themeColor="text1"/>
          <w:szCs w:val="28"/>
        </w:rPr>
        <w:t xml:space="preserve">koncernens </w:t>
      </w:r>
      <w:r>
        <w:rPr>
          <w:rFonts w:cs="Times New Roman"/>
          <w:color w:val="000000" w:themeColor="text1"/>
          <w:szCs w:val="28"/>
        </w:rPr>
        <w:t xml:space="preserve">udenlandske ejendomme ikke skulle beskattes i Danmark. For disse </w:t>
      </w:r>
      <w:r w:rsidR="0004256B">
        <w:rPr>
          <w:rFonts w:cs="Times New Roman"/>
          <w:color w:val="000000" w:themeColor="text1"/>
          <w:szCs w:val="28"/>
        </w:rPr>
        <w:t>ejendomme</w:t>
      </w:r>
      <w:r>
        <w:rPr>
          <w:rFonts w:cs="Times New Roman"/>
          <w:color w:val="000000" w:themeColor="text1"/>
          <w:szCs w:val="28"/>
        </w:rPr>
        <w:t xml:space="preserve"> skal værdien af koncernens udenlandske ejendomme derfor ikke indgå ved opgørelsen af de 100 mio. kr., ligesom disse udenlandske ejendomme ikke omfattes af den foreslåede lagerbeskatning.</w:t>
      </w:r>
      <w:r w:rsidR="0004256B">
        <w:rPr>
          <w:rFonts w:cs="Times New Roman"/>
          <w:color w:val="000000" w:themeColor="text1"/>
          <w:szCs w:val="28"/>
        </w:rPr>
        <w:t xml:space="preserve"> </w:t>
      </w:r>
    </w:p>
    <w:p w14:paraId="2FF93E3E" w14:textId="2C38EA5C" w:rsidR="008539CC" w:rsidRDefault="008D215C" w:rsidP="008D215C">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Ved vurderingen af, om betingelsen om en værdi på mere end 100 mio. kr. er opfyldt i </w:t>
      </w:r>
      <w:r w:rsidR="004D2F3C">
        <w:rPr>
          <w:rFonts w:eastAsia="Calibri" w:cs="Times New Roman"/>
          <w:bCs/>
          <w:color w:val="000000" w:themeColor="text1"/>
          <w:szCs w:val="24"/>
        </w:rPr>
        <w:t xml:space="preserve">ved udløbet af den skattepligtiges </w:t>
      </w:r>
      <w:r w:rsidRPr="00815B3E">
        <w:rPr>
          <w:rFonts w:eastAsia="Calibri" w:cs="Times New Roman"/>
          <w:bCs/>
          <w:color w:val="000000" w:themeColor="text1"/>
          <w:szCs w:val="24"/>
        </w:rPr>
        <w:t xml:space="preserve">indkomstår, medregnes værdien af ejendomme, som </w:t>
      </w:r>
      <w:r w:rsidR="004D2F3C">
        <w:rPr>
          <w:rFonts w:eastAsia="Calibri" w:cs="Times New Roman"/>
          <w:bCs/>
          <w:color w:val="000000" w:themeColor="text1"/>
          <w:szCs w:val="24"/>
        </w:rPr>
        <w:t xml:space="preserve">udlejes i overvejende omfang på noget tidspunkt i </w:t>
      </w:r>
      <w:r w:rsidR="004D2F3C">
        <w:rPr>
          <w:rFonts w:eastAsia="Calibri" w:cs="Times New Roman"/>
          <w:bCs/>
          <w:color w:val="000000" w:themeColor="text1"/>
          <w:szCs w:val="24"/>
        </w:rPr>
        <w:lastRenderedPageBreak/>
        <w:t xml:space="preserve">det pågældende indkomstår. </w:t>
      </w:r>
      <w:r w:rsidR="008539CC">
        <w:rPr>
          <w:rFonts w:eastAsia="Calibri" w:cs="Times New Roman"/>
          <w:bCs/>
          <w:color w:val="000000" w:themeColor="text1"/>
          <w:szCs w:val="24"/>
        </w:rPr>
        <w:t xml:space="preserve">Herunder medregnes værdien af udlejningsejendomme, der har været udlejet hele året, udlejningsejendomme, der er erhvervet i løbet af året, og ejendomme, der er overgået fra anvendelse i driften til udlejning i overvejende omfang. </w:t>
      </w:r>
    </w:p>
    <w:p w14:paraId="2B0FE95D" w14:textId="0C39D95D" w:rsidR="00FB7CDE" w:rsidRPr="00815B3E" w:rsidRDefault="003A43B4" w:rsidP="00B9459B">
      <w:pPr>
        <w:spacing w:after="240"/>
        <w:rPr>
          <w:rFonts w:cs="Times New Roman"/>
          <w:color w:val="000000" w:themeColor="text1"/>
          <w:szCs w:val="28"/>
        </w:rPr>
      </w:pPr>
      <w:r w:rsidRPr="00815B3E">
        <w:rPr>
          <w:rFonts w:cs="Times New Roman"/>
          <w:color w:val="000000" w:themeColor="text1"/>
          <w:szCs w:val="28"/>
        </w:rPr>
        <w:t xml:space="preserve">Efter forslaget medregnes i opgørelsen af de 100 mio. kr. </w:t>
      </w:r>
      <w:r w:rsidR="007E18EC">
        <w:rPr>
          <w:rFonts w:cs="Times New Roman"/>
          <w:color w:val="000000" w:themeColor="text1"/>
          <w:szCs w:val="28"/>
        </w:rPr>
        <w:t xml:space="preserve">således </w:t>
      </w:r>
      <w:r w:rsidRPr="00815B3E">
        <w:rPr>
          <w:rFonts w:cs="Times New Roman"/>
          <w:color w:val="000000" w:themeColor="text1"/>
          <w:szCs w:val="28"/>
        </w:rPr>
        <w:t>alene værdien af ejendomme, der udlejes i overvejende omfang</w:t>
      </w:r>
      <w:r w:rsidR="00665F86" w:rsidRPr="00815B3E">
        <w:rPr>
          <w:rFonts w:cs="Times New Roman"/>
          <w:color w:val="000000" w:themeColor="text1"/>
          <w:szCs w:val="28"/>
        </w:rPr>
        <w:t>. Derimod medregnes</w:t>
      </w:r>
      <w:r w:rsidR="00FB7CDE" w:rsidRPr="00815B3E">
        <w:rPr>
          <w:rFonts w:cs="Times New Roman"/>
          <w:color w:val="000000" w:themeColor="text1"/>
          <w:szCs w:val="28"/>
        </w:rPr>
        <w:t xml:space="preserve"> værdien af tidligere års lagerbeskattede ejendomme</w:t>
      </w:r>
      <w:r w:rsidR="00665F86" w:rsidRPr="00815B3E">
        <w:rPr>
          <w:rFonts w:cs="Times New Roman"/>
          <w:color w:val="000000" w:themeColor="text1"/>
          <w:szCs w:val="28"/>
        </w:rPr>
        <w:t xml:space="preserve"> ikke</w:t>
      </w:r>
      <w:r w:rsidR="00FB7CDE" w:rsidRPr="00815B3E">
        <w:rPr>
          <w:rFonts w:cs="Times New Roman"/>
          <w:color w:val="000000" w:themeColor="text1"/>
          <w:szCs w:val="28"/>
        </w:rPr>
        <w:t xml:space="preserve">, </w:t>
      </w:r>
      <w:r w:rsidR="00665F86" w:rsidRPr="00815B3E">
        <w:rPr>
          <w:rFonts w:cs="Times New Roman"/>
          <w:color w:val="000000" w:themeColor="text1"/>
          <w:szCs w:val="28"/>
        </w:rPr>
        <w:t>hvis</w:t>
      </w:r>
      <w:r w:rsidR="00FB7CDE" w:rsidRPr="00815B3E">
        <w:rPr>
          <w:rFonts w:cs="Times New Roman"/>
          <w:color w:val="000000" w:themeColor="text1"/>
          <w:szCs w:val="28"/>
        </w:rPr>
        <w:t xml:space="preserve"> disse</w:t>
      </w:r>
      <w:r w:rsidR="00665F86" w:rsidRPr="00815B3E">
        <w:rPr>
          <w:rFonts w:cs="Times New Roman"/>
          <w:color w:val="000000" w:themeColor="text1"/>
          <w:szCs w:val="28"/>
        </w:rPr>
        <w:t xml:space="preserve"> ejendomme</w:t>
      </w:r>
      <w:r w:rsidR="00FB7CDE" w:rsidRPr="00815B3E">
        <w:rPr>
          <w:rFonts w:cs="Times New Roman"/>
          <w:color w:val="000000" w:themeColor="text1"/>
          <w:szCs w:val="28"/>
        </w:rPr>
        <w:t xml:space="preserve"> ikke længere udlejes i overvejende omfang</w:t>
      </w:r>
      <w:r w:rsidR="007E18EC">
        <w:rPr>
          <w:rFonts w:cs="Times New Roman"/>
          <w:color w:val="000000" w:themeColor="text1"/>
          <w:szCs w:val="28"/>
        </w:rPr>
        <w:t xml:space="preserve"> på noget tidspunkt i det pågældende indkomstår</w:t>
      </w:r>
      <w:r w:rsidRPr="00815B3E">
        <w:rPr>
          <w:rFonts w:cs="Times New Roman"/>
          <w:color w:val="000000" w:themeColor="text1"/>
          <w:szCs w:val="28"/>
        </w:rPr>
        <w:t xml:space="preserve">. </w:t>
      </w:r>
      <w:r w:rsidR="004A087C">
        <w:rPr>
          <w:rFonts w:cs="Times New Roman"/>
          <w:color w:val="000000" w:themeColor="text1"/>
          <w:szCs w:val="28"/>
        </w:rPr>
        <w:t xml:space="preserve">Disse ejendomme </w:t>
      </w:r>
      <w:r w:rsidR="007E18EC">
        <w:rPr>
          <w:rFonts w:cs="Times New Roman"/>
          <w:color w:val="000000" w:themeColor="text1"/>
          <w:szCs w:val="28"/>
        </w:rPr>
        <w:t>vil</w:t>
      </w:r>
      <w:r w:rsidR="004A087C">
        <w:rPr>
          <w:rFonts w:cs="Times New Roman"/>
          <w:color w:val="000000" w:themeColor="text1"/>
          <w:szCs w:val="28"/>
        </w:rPr>
        <w:t xml:space="preserve"> dog fortsat</w:t>
      </w:r>
      <w:r w:rsidR="007E18EC">
        <w:rPr>
          <w:rFonts w:cs="Times New Roman"/>
          <w:color w:val="000000" w:themeColor="text1"/>
          <w:szCs w:val="28"/>
        </w:rPr>
        <w:t xml:space="preserve"> være</w:t>
      </w:r>
      <w:r w:rsidR="004A087C">
        <w:rPr>
          <w:rFonts w:cs="Times New Roman"/>
          <w:color w:val="000000" w:themeColor="text1"/>
          <w:szCs w:val="28"/>
        </w:rPr>
        <w:t xml:space="preserve"> lagerbeskattet efter den foreslåede § 14, stk. 3, jf. nærmere nedenfor.</w:t>
      </w:r>
    </w:p>
    <w:p w14:paraId="35BE0246" w14:textId="0C70FBE5" w:rsidR="003338C9" w:rsidRPr="00815B3E" w:rsidRDefault="003338C9" w:rsidP="00B9459B">
      <w:pPr>
        <w:spacing w:after="240"/>
        <w:rPr>
          <w:rFonts w:cs="Times New Roman"/>
          <w:color w:val="000000" w:themeColor="text1"/>
          <w:szCs w:val="28"/>
        </w:rPr>
      </w:pPr>
      <w:r w:rsidRPr="00815B3E">
        <w:rPr>
          <w:rFonts w:cs="Times New Roman"/>
          <w:color w:val="000000" w:themeColor="text1"/>
          <w:szCs w:val="28"/>
        </w:rPr>
        <w:t xml:space="preserve">Hele værdien af </w:t>
      </w:r>
      <w:r w:rsidR="00665F86" w:rsidRPr="00815B3E">
        <w:rPr>
          <w:rFonts w:cs="Times New Roman"/>
          <w:color w:val="000000" w:themeColor="text1"/>
          <w:szCs w:val="28"/>
        </w:rPr>
        <w:t xml:space="preserve">en </w:t>
      </w:r>
      <w:r w:rsidRPr="00815B3E">
        <w:rPr>
          <w:rFonts w:cs="Times New Roman"/>
          <w:color w:val="000000" w:themeColor="text1"/>
          <w:szCs w:val="28"/>
        </w:rPr>
        <w:t>ejendom</w:t>
      </w:r>
      <w:r w:rsidR="00665F86" w:rsidRPr="00815B3E">
        <w:rPr>
          <w:rFonts w:cs="Times New Roman"/>
          <w:color w:val="000000" w:themeColor="text1"/>
          <w:szCs w:val="28"/>
        </w:rPr>
        <w:t>, der udlejes i overvejende omfang,</w:t>
      </w:r>
      <w:r w:rsidR="00FB7CDE" w:rsidRPr="00815B3E">
        <w:rPr>
          <w:rFonts w:cs="Times New Roman"/>
          <w:color w:val="000000" w:themeColor="text1"/>
          <w:szCs w:val="28"/>
        </w:rPr>
        <w:t xml:space="preserve"> </w:t>
      </w:r>
      <w:r w:rsidRPr="00815B3E">
        <w:rPr>
          <w:rFonts w:cs="Times New Roman"/>
          <w:color w:val="000000" w:themeColor="text1"/>
          <w:szCs w:val="28"/>
        </w:rPr>
        <w:t>medregnes efter forslaget og ikke kun den andel, der udlejes. Hvis den skattepligtige kun ejer en andel af ejendommen, medregnes kun den andel af ejendommens værdi, som svarer til ejerandelen.</w:t>
      </w:r>
    </w:p>
    <w:p w14:paraId="2D0C62FB" w14:textId="43B9698C" w:rsidR="003338C9" w:rsidRPr="00815B3E" w:rsidRDefault="003338C9" w:rsidP="00B9459B">
      <w:pPr>
        <w:spacing w:after="240"/>
        <w:rPr>
          <w:rFonts w:cs="Times New Roman"/>
          <w:color w:val="000000" w:themeColor="text1"/>
          <w:szCs w:val="28"/>
        </w:rPr>
      </w:pPr>
      <w:r w:rsidRPr="00815B3E">
        <w:rPr>
          <w:rFonts w:cs="Times New Roman"/>
          <w:color w:val="000000" w:themeColor="text1"/>
          <w:szCs w:val="28"/>
        </w:rPr>
        <w:t xml:space="preserve">Hvis et selskab f.eks. ejer 10 pct. af en ejendom, der har en værdi på 10 mio. kr., og som udlejes i overvejende omfang, repræsenterer ejerandelen efter forslaget en værdi på 1 mio. kr. af </w:t>
      </w:r>
      <w:r w:rsidR="0037583F" w:rsidRPr="00815B3E">
        <w:rPr>
          <w:rFonts w:cs="Times New Roman"/>
          <w:color w:val="000000" w:themeColor="text1"/>
          <w:szCs w:val="28"/>
        </w:rPr>
        <w:t xml:space="preserve">selskabets </w:t>
      </w:r>
      <w:r w:rsidRPr="00815B3E">
        <w:rPr>
          <w:rFonts w:cs="Times New Roman"/>
          <w:color w:val="000000" w:themeColor="text1"/>
          <w:szCs w:val="28"/>
        </w:rPr>
        <w:t>ejendomme,</w:t>
      </w:r>
      <w:r w:rsidR="0037583F" w:rsidRPr="00815B3E">
        <w:rPr>
          <w:rFonts w:cs="Times New Roman"/>
          <w:color w:val="000000" w:themeColor="text1"/>
          <w:szCs w:val="28"/>
        </w:rPr>
        <w:t xml:space="preserve"> der udlejes i overvejende omfang. Det er i denne forbindelse uden betydning, om hele ejendommen eller blot lidt over 50 pct. udlejes. </w:t>
      </w:r>
    </w:p>
    <w:p w14:paraId="0C9D3BE5" w14:textId="22548D2B" w:rsidR="00B9459B" w:rsidRPr="00815B3E" w:rsidRDefault="003A43B4" w:rsidP="00B9459B">
      <w:pPr>
        <w:spacing w:after="240"/>
        <w:rPr>
          <w:rFonts w:cs="Times New Roman"/>
          <w:color w:val="000000" w:themeColor="text1"/>
          <w:szCs w:val="28"/>
        </w:rPr>
      </w:pPr>
      <w:r w:rsidRPr="00815B3E">
        <w:rPr>
          <w:rFonts w:cs="Times New Roman"/>
          <w:color w:val="000000" w:themeColor="text1"/>
          <w:szCs w:val="28"/>
        </w:rPr>
        <w:t>Ejendomme, der i det pågældende indkomstår ikke på noget tidspunkt udlejes i overvejende omfang, medregnes efter forslaget ikke</w:t>
      </w:r>
      <w:r w:rsidR="003E52D0">
        <w:rPr>
          <w:rFonts w:cs="Times New Roman"/>
          <w:color w:val="000000" w:themeColor="text1"/>
          <w:szCs w:val="28"/>
        </w:rPr>
        <w:t xml:space="preserve"> ved opgørelsen af de</w:t>
      </w:r>
      <w:r w:rsidRPr="00815B3E">
        <w:rPr>
          <w:rFonts w:cs="Times New Roman"/>
          <w:color w:val="000000" w:themeColor="text1"/>
          <w:szCs w:val="28"/>
        </w:rPr>
        <w:t xml:space="preserve"> 100 mio. kr.</w:t>
      </w:r>
      <w:r w:rsidR="0074599F" w:rsidRPr="00815B3E">
        <w:rPr>
          <w:rFonts w:cs="Times New Roman"/>
          <w:color w:val="000000" w:themeColor="text1"/>
          <w:szCs w:val="28"/>
        </w:rPr>
        <w:t xml:space="preserve"> </w:t>
      </w:r>
    </w:p>
    <w:p w14:paraId="38D5FD7D" w14:textId="77777777" w:rsidR="00AE42F7" w:rsidRPr="00815B3E" w:rsidRDefault="00AE42F7" w:rsidP="00AE42F7">
      <w:pPr>
        <w:spacing w:after="240"/>
        <w:rPr>
          <w:rFonts w:cs="Times New Roman"/>
          <w:color w:val="000000" w:themeColor="text1"/>
          <w:szCs w:val="28"/>
        </w:rPr>
      </w:pPr>
      <w:r w:rsidRPr="00815B3E">
        <w:rPr>
          <w:rFonts w:cs="Times New Roman"/>
          <w:color w:val="000000" w:themeColor="text1"/>
          <w:szCs w:val="28"/>
        </w:rPr>
        <w:t xml:space="preserve">Det vil kunne forekomme, at en ejendom efter forslaget skal lagerbeskattes, selv om de to betingelser, der foreslås i ejendomsavancebeskatningslovens § 14, stk. 1, ikke måtte være opfyldt. Det skyldes den foreslåede regel i ejendomsavancebeskatningslovens § 14, stk. 3, hvorefter en ejendom vedbliver med at være lagerbeskattet, så længe den skattepligtige ejer ejendommen. </w:t>
      </w:r>
      <w:bookmarkStart w:id="640" w:name="_Hlk107567494"/>
      <w:r w:rsidRPr="00815B3E">
        <w:rPr>
          <w:rFonts w:cs="Times New Roman"/>
          <w:color w:val="000000" w:themeColor="text1"/>
          <w:szCs w:val="28"/>
        </w:rPr>
        <w:t>Hvis en ejendom således en gang i ejertiden har været lagerbeskattet, vil ejendommen efter forslaget fortsat skulle lagerbeskattes, selv om ejendommen ikke længere udlejes, eller selv om porteføljen af udlejningsejendomme falder til under 100 mio. kr.</w:t>
      </w:r>
      <w:bookmarkEnd w:id="640"/>
    </w:p>
    <w:p w14:paraId="22E43372" w14:textId="55DD69EE" w:rsidR="00B9459B" w:rsidRPr="00815B3E" w:rsidRDefault="00AC69B4" w:rsidP="00B9459B">
      <w:pPr>
        <w:spacing w:after="240"/>
        <w:rPr>
          <w:color w:val="000000" w:themeColor="text1"/>
        </w:rPr>
      </w:pPr>
      <w:r w:rsidRPr="00815B3E">
        <w:rPr>
          <w:rFonts w:cs="Times New Roman"/>
          <w:color w:val="000000" w:themeColor="text1"/>
          <w:szCs w:val="28"/>
        </w:rPr>
        <w:t xml:space="preserve">Det foreslås, at der ved opgørelsen af de 100 mio. kr. medregnes både værdien af den skattepligtiges egne ejendomme og værdien af ejendomme tilhørende selskaber m.v., som kontrolleres af den kreds af skattepligtige, der har en forbindelse, som er nævnt i ligningslovens § 2. </w:t>
      </w:r>
      <w:r w:rsidR="0074599F" w:rsidRPr="00815B3E">
        <w:rPr>
          <w:color w:val="000000" w:themeColor="text1"/>
        </w:rPr>
        <w:t>Efter ligningslovens § 2 drejer det sig om skattepligtige</w:t>
      </w:r>
    </w:p>
    <w:p w14:paraId="279655A9" w14:textId="77777777" w:rsidR="00B9459B" w:rsidRPr="00815B3E" w:rsidRDefault="00B9459B" w:rsidP="00B9459B">
      <w:pPr>
        <w:pStyle w:val="Listeafsnit"/>
        <w:numPr>
          <w:ilvl w:val="0"/>
          <w:numId w:val="16"/>
        </w:numPr>
        <w:spacing w:after="240" w:line="300" w:lineRule="auto"/>
        <w:ind w:left="640"/>
        <w:rPr>
          <w:rFonts w:ascii="Times New Roman" w:hAnsi="Times New Roman"/>
          <w:color w:val="000000" w:themeColor="text1"/>
          <w:sz w:val="24"/>
        </w:rPr>
      </w:pPr>
      <w:r w:rsidRPr="00815B3E">
        <w:rPr>
          <w:rFonts w:ascii="Times New Roman" w:hAnsi="Times New Roman"/>
          <w:color w:val="000000" w:themeColor="text1"/>
          <w:sz w:val="24"/>
        </w:rPr>
        <w:lastRenderedPageBreak/>
        <w:t>hvorover fysiske eller juridiske personer ud</w:t>
      </w:r>
      <w:r w:rsidRPr="00815B3E">
        <w:rPr>
          <w:rFonts w:ascii="Times New Roman" w:hAnsi="Times New Roman" w:hint="eastAsia"/>
          <w:color w:val="000000" w:themeColor="text1"/>
          <w:sz w:val="24"/>
        </w:rPr>
        <w:t>ø</w:t>
      </w:r>
      <w:r w:rsidRPr="00815B3E">
        <w:rPr>
          <w:rFonts w:ascii="Times New Roman" w:hAnsi="Times New Roman"/>
          <w:color w:val="000000" w:themeColor="text1"/>
          <w:sz w:val="24"/>
        </w:rPr>
        <w:t>ver en bestemmende indflydelse,</w:t>
      </w:r>
    </w:p>
    <w:p w14:paraId="4D61058B" w14:textId="77777777" w:rsidR="00B9459B" w:rsidRPr="00815B3E" w:rsidRDefault="00B9459B" w:rsidP="00B9459B">
      <w:pPr>
        <w:pStyle w:val="Listeafsnit"/>
        <w:numPr>
          <w:ilvl w:val="0"/>
          <w:numId w:val="16"/>
        </w:numPr>
        <w:spacing w:after="240" w:line="300" w:lineRule="auto"/>
        <w:ind w:left="640"/>
        <w:rPr>
          <w:rFonts w:ascii="Times New Roman" w:hAnsi="Times New Roman"/>
          <w:color w:val="000000" w:themeColor="text1"/>
          <w:sz w:val="24"/>
        </w:rPr>
      </w:pPr>
      <w:r w:rsidRPr="00815B3E">
        <w:rPr>
          <w:rFonts w:ascii="Times New Roman" w:hAnsi="Times New Roman"/>
          <w:color w:val="000000" w:themeColor="text1"/>
          <w:sz w:val="24"/>
        </w:rPr>
        <w:t>der ud</w:t>
      </w:r>
      <w:r w:rsidRPr="00815B3E">
        <w:rPr>
          <w:rFonts w:ascii="Times New Roman" w:hAnsi="Times New Roman" w:hint="eastAsia"/>
          <w:color w:val="000000" w:themeColor="text1"/>
          <w:sz w:val="24"/>
        </w:rPr>
        <w:t>ø</w:t>
      </w:r>
      <w:r w:rsidRPr="00815B3E">
        <w:rPr>
          <w:rFonts w:ascii="Times New Roman" w:hAnsi="Times New Roman"/>
          <w:color w:val="000000" w:themeColor="text1"/>
          <w:sz w:val="24"/>
        </w:rPr>
        <w:t>ver en bestemmende indflydelse over juridiske personer,</w:t>
      </w:r>
    </w:p>
    <w:p w14:paraId="1E1E7479" w14:textId="77777777" w:rsidR="00B9459B" w:rsidRPr="00815B3E" w:rsidRDefault="00B9459B" w:rsidP="00B9459B">
      <w:pPr>
        <w:pStyle w:val="Listeafsnit"/>
        <w:numPr>
          <w:ilvl w:val="0"/>
          <w:numId w:val="16"/>
        </w:numPr>
        <w:spacing w:after="240" w:line="300" w:lineRule="auto"/>
        <w:ind w:left="640"/>
        <w:rPr>
          <w:rFonts w:ascii="Times New Roman" w:hAnsi="Times New Roman"/>
          <w:color w:val="000000" w:themeColor="text1"/>
          <w:sz w:val="24"/>
        </w:rPr>
      </w:pPr>
      <w:r w:rsidRPr="00815B3E">
        <w:rPr>
          <w:rFonts w:ascii="Times New Roman" w:hAnsi="Times New Roman"/>
          <w:color w:val="000000" w:themeColor="text1"/>
          <w:sz w:val="24"/>
        </w:rPr>
        <w:t>der er koncernforbundet med en juridisk person,</w:t>
      </w:r>
    </w:p>
    <w:p w14:paraId="11670AAB" w14:textId="77777777" w:rsidR="00B9459B" w:rsidRPr="00815B3E" w:rsidRDefault="00B9459B" w:rsidP="00B9459B">
      <w:pPr>
        <w:pStyle w:val="Listeafsnit"/>
        <w:numPr>
          <w:ilvl w:val="0"/>
          <w:numId w:val="16"/>
        </w:numPr>
        <w:spacing w:after="240" w:line="300" w:lineRule="auto"/>
        <w:ind w:left="640"/>
        <w:rPr>
          <w:rFonts w:ascii="Times New Roman" w:hAnsi="Times New Roman"/>
          <w:color w:val="000000" w:themeColor="text1"/>
          <w:sz w:val="24"/>
        </w:rPr>
      </w:pPr>
      <w:r w:rsidRPr="00815B3E">
        <w:rPr>
          <w:rFonts w:ascii="Times New Roman" w:hAnsi="Times New Roman"/>
          <w:color w:val="000000" w:themeColor="text1"/>
          <w:sz w:val="24"/>
        </w:rPr>
        <w:t>der har et fast driftssted beliggende i udlandet,</w:t>
      </w:r>
    </w:p>
    <w:p w14:paraId="39110B40" w14:textId="494204EC" w:rsidR="00B9459B" w:rsidRPr="00815B3E" w:rsidRDefault="00B9459B" w:rsidP="00B9459B">
      <w:pPr>
        <w:pStyle w:val="Listeafsnit"/>
        <w:numPr>
          <w:ilvl w:val="0"/>
          <w:numId w:val="16"/>
        </w:numPr>
        <w:spacing w:after="240" w:line="300" w:lineRule="auto"/>
        <w:ind w:left="640"/>
        <w:rPr>
          <w:rFonts w:ascii="Times New Roman" w:hAnsi="Times New Roman"/>
          <w:color w:val="000000" w:themeColor="text1"/>
          <w:sz w:val="24"/>
        </w:rPr>
      </w:pPr>
      <w:r w:rsidRPr="00815B3E">
        <w:rPr>
          <w:rFonts w:ascii="Times New Roman" w:hAnsi="Times New Roman"/>
          <w:color w:val="000000" w:themeColor="text1"/>
          <w:sz w:val="24"/>
        </w:rPr>
        <w:t>der er en udenlandsk fysisk eller juridisk person med et fast driftssted i Danmark, eller</w:t>
      </w:r>
    </w:p>
    <w:p w14:paraId="5DE97AE1" w14:textId="15BA2BDD" w:rsidR="00B9459B" w:rsidRPr="00815B3E" w:rsidRDefault="00B9459B" w:rsidP="00B9459B">
      <w:pPr>
        <w:pStyle w:val="Listeafsnit"/>
        <w:numPr>
          <w:ilvl w:val="0"/>
          <w:numId w:val="16"/>
        </w:numPr>
        <w:spacing w:after="240" w:line="300" w:lineRule="auto"/>
        <w:ind w:left="640"/>
        <w:rPr>
          <w:rFonts w:ascii="Times New Roman" w:hAnsi="Times New Roman"/>
          <w:color w:val="000000" w:themeColor="text1"/>
          <w:sz w:val="24"/>
        </w:rPr>
      </w:pPr>
      <w:r w:rsidRPr="00815B3E">
        <w:rPr>
          <w:rFonts w:ascii="Times New Roman" w:hAnsi="Times New Roman"/>
          <w:color w:val="000000" w:themeColor="text1"/>
          <w:sz w:val="24"/>
        </w:rPr>
        <w:t xml:space="preserve">der er en udenlandsk fysisk eller juridisk person med kulbrintetilknyttet virksomhed omfattet af kulbrinteskattelovens </w:t>
      </w:r>
      <w:r w:rsidRPr="00815B3E">
        <w:rPr>
          <w:rFonts w:ascii="Times New Roman" w:hAnsi="Times New Roman" w:hint="eastAsia"/>
          <w:color w:val="000000" w:themeColor="text1"/>
          <w:sz w:val="24"/>
        </w:rPr>
        <w:t>§</w:t>
      </w:r>
      <w:r w:rsidRPr="00815B3E">
        <w:rPr>
          <w:rFonts w:ascii="Times New Roman" w:hAnsi="Times New Roman"/>
          <w:color w:val="000000" w:themeColor="text1"/>
          <w:sz w:val="24"/>
        </w:rPr>
        <w:t xml:space="preserve"> 21, stk. 1 eller 4</w:t>
      </w:r>
      <w:r w:rsidR="00A65302">
        <w:rPr>
          <w:rFonts w:ascii="Times New Roman" w:hAnsi="Times New Roman"/>
          <w:color w:val="000000" w:themeColor="text1"/>
          <w:sz w:val="24"/>
        </w:rPr>
        <w:t>.</w:t>
      </w:r>
    </w:p>
    <w:p w14:paraId="7185E1A6" w14:textId="24CBFDFF" w:rsidR="004843EA" w:rsidRDefault="004843EA" w:rsidP="00B9459B">
      <w:pPr>
        <w:spacing w:after="240"/>
        <w:rPr>
          <w:color w:val="000000" w:themeColor="text1"/>
        </w:rPr>
      </w:pPr>
      <w:r w:rsidRPr="00815B3E">
        <w:rPr>
          <w:color w:val="000000" w:themeColor="text1"/>
        </w:rPr>
        <w:t xml:space="preserve">Alene ejendomme </w:t>
      </w:r>
      <w:r w:rsidR="00B9385C">
        <w:rPr>
          <w:color w:val="000000" w:themeColor="text1"/>
        </w:rPr>
        <w:t xml:space="preserve">under dansk beskatning </w:t>
      </w:r>
      <w:r w:rsidRPr="00815B3E">
        <w:rPr>
          <w:color w:val="000000" w:themeColor="text1"/>
        </w:rPr>
        <w:t>tilhørende selskaber m.v. omfattet af selskabsskattelovens § 1</w:t>
      </w:r>
      <w:r w:rsidR="00BD2597">
        <w:rPr>
          <w:color w:val="000000" w:themeColor="text1"/>
        </w:rPr>
        <w:t xml:space="preserve">, </w:t>
      </w:r>
      <w:r w:rsidR="00BD2597" w:rsidRPr="00815B3E">
        <w:rPr>
          <w:rFonts w:eastAsia="Calibri" w:cs="Times New Roman"/>
          <w:bCs/>
          <w:color w:val="000000" w:themeColor="text1"/>
          <w:szCs w:val="24"/>
        </w:rPr>
        <w:t xml:space="preserve">stk. 1, </w:t>
      </w:r>
      <w:r w:rsidR="00BD2597">
        <w:rPr>
          <w:rFonts w:eastAsia="Calibri" w:cs="Times New Roman"/>
          <w:bCs/>
          <w:color w:val="000000" w:themeColor="text1"/>
          <w:szCs w:val="24"/>
        </w:rPr>
        <w:t>nr. 1-2j og 3a-6</w:t>
      </w:r>
      <w:r w:rsidR="005565E7">
        <w:rPr>
          <w:rFonts w:eastAsia="Calibri" w:cs="Times New Roman"/>
          <w:bCs/>
          <w:color w:val="000000" w:themeColor="text1"/>
          <w:szCs w:val="24"/>
        </w:rPr>
        <w:t>,</w:t>
      </w:r>
      <w:r w:rsidRPr="00815B3E">
        <w:rPr>
          <w:color w:val="000000" w:themeColor="text1"/>
        </w:rPr>
        <w:t xml:space="preserve"> eller § 2, stk. 1, litra a eller b</w:t>
      </w:r>
      <w:r w:rsidR="00EE42EA" w:rsidRPr="00815B3E">
        <w:rPr>
          <w:color w:val="000000" w:themeColor="text1"/>
        </w:rPr>
        <w:t>,</w:t>
      </w:r>
      <w:r w:rsidRPr="00815B3E">
        <w:rPr>
          <w:color w:val="000000" w:themeColor="text1"/>
        </w:rPr>
        <w:t xml:space="preserve"> vil efter forslaget skulle medregnes ved opgørelsen af</w:t>
      </w:r>
      <w:r w:rsidR="00FB4963">
        <w:rPr>
          <w:rFonts w:cs="Times New Roman"/>
          <w:color w:val="000000" w:themeColor="text1"/>
          <w:szCs w:val="28"/>
        </w:rPr>
        <w:t xml:space="preserve"> de</w:t>
      </w:r>
      <w:r w:rsidR="00FB4963" w:rsidRPr="00815B3E">
        <w:rPr>
          <w:rFonts w:cs="Times New Roman"/>
          <w:color w:val="000000" w:themeColor="text1"/>
          <w:szCs w:val="28"/>
        </w:rPr>
        <w:t xml:space="preserve"> 100 mio. kr.</w:t>
      </w:r>
      <w:r w:rsidR="00FB4963">
        <w:rPr>
          <w:rFonts w:cs="Times New Roman"/>
          <w:color w:val="000000" w:themeColor="text1"/>
          <w:szCs w:val="28"/>
        </w:rPr>
        <w:t xml:space="preserve"> for </w:t>
      </w:r>
      <w:r w:rsidRPr="00815B3E">
        <w:rPr>
          <w:color w:val="000000" w:themeColor="text1"/>
        </w:rPr>
        <w:t xml:space="preserve">værdien af porteføljen af udlejningsejendomme. </w:t>
      </w:r>
      <w:r w:rsidR="00B9385C" w:rsidRPr="00B9385C">
        <w:rPr>
          <w:color w:val="000000" w:themeColor="text1"/>
        </w:rPr>
        <w:t>Heller ikke udenlandske ejendomme tilhørende interesseforbundne parter, jf. ligningslovens § 2</w:t>
      </w:r>
      <w:r w:rsidR="005022C0">
        <w:rPr>
          <w:color w:val="000000" w:themeColor="text1"/>
        </w:rPr>
        <w:t>,</w:t>
      </w:r>
      <w:r w:rsidR="00B9385C" w:rsidRPr="00B9385C">
        <w:rPr>
          <w:color w:val="000000" w:themeColor="text1"/>
        </w:rPr>
        <w:t xml:space="preserve"> skal medregnes, medmindre den interesseforbundne part har valgt international sambeskatning.</w:t>
      </w:r>
    </w:p>
    <w:p w14:paraId="5165AEB9" w14:textId="3C54C054" w:rsidR="00BD2597" w:rsidRPr="00B57D29" w:rsidRDefault="00BD2597" w:rsidP="00B9459B">
      <w:pPr>
        <w:spacing w:after="240"/>
        <w:rPr>
          <w:rFonts w:cs="Times New Roman"/>
          <w:color w:val="000000" w:themeColor="text1"/>
          <w:szCs w:val="28"/>
        </w:rPr>
      </w:pPr>
      <w:r>
        <w:rPr>
          <w:rFonts w:cs="Times New Roman"/>
          <w:color w:val="000000" w:themeColor="text1"/>
          <w:szCs w:val="28"/>
        </w:rPr>
        <w:t>Ejes to ejendomme i et interessefællesskab, hvor den ene ejendom er underlagt udenlandsk beskatning, og den anden er underlagt dansk beskatning</w:t>
      </w:r>
      <w:r w:rsidR="005022C0">
        <w:rPr>
          <w:rFonts w:cs="Times New Roman"/>
          <w:color w:val="000000" w:themeColor="text1"/>
          <w:szCs w:val="28"/>
        </w:rPr>
        <w:t>,</w:t>
      </w:r>
      <w:r>
        <w:rPr>
          <w:rFonts w:cs="Times New Roman"/>
          <w:color w:val="000000" w:themeColor="text1"/>
          <w:szCs w:val="28"/>
        </w:rPr>
        <w:t xml:space="preserve"> er det kun ejendommen, der er underlagt dansk beskatning, der skal indgå ved opgørelsen af de 100 mio. kr.</w:t>
      </w:r>
      <w:r w:rsidR="005022C0">
        <w:rPr>
          <w:rFonts w:cs="Times New Roman"/>
          <w:color w:val="000000" w:themeColor="text1"/>
          <w:szCs w:val="28"/>
        </w:rPr>
        <w:t>,</w:t>
      </w:r>
      <w:r>
        <w:rPr>
          <w:rFonts w:cs="Times New Roman"/>
          <w:color w:val="000000" w:themeColor="text1"/>
          <w:szCs w:val="28"/>
        </w:rPr>
        <w:t xml:space="preserve"> jf. den foreslåede § 14, stk. 1, nr. 2. </w:t>
      </w:r>
    </w:p>
    <w:p w14:paraId="3EEE9E32" w14:textId="64255B45" w:rsidR="0074599F" w:rsidRPr="00815B3E" w:rsidRDefault="00B9459B" w:rsidP="00B9459B">
      <w:pPr>
        <w:spacing w:after="240"/>
        <w:rPr>
          <w:color w:val="000000" w:themeColor="text1"/>
        </w:rPr>
      </w:pPr>
      <w:r w:rsidRPr="00815B3E">
        <w:rPr>
          <w:color w:val="000000" w:themeColor="text1"/>
        </w:rPr>
        <w:t xml:space="preserve">Ifølge ligningslovens § 2, stk. 2, forstås </w:t>
      </w:r>
      <w:r w:rsidR="00C92852" w:rsidRPr="00815B3E">
        <w:rPr>
          <w:color w:val="000000" w:themeColor="text1"/>
        </w:rPr>
        <w:t xml:space="preserve">ved </w:t>
      </w:r>
      <w:r w:rsidRPr="00815B3E">
        <w:rPr>
          <w:color w:val="000000" w:themeColor="text1"/>
        </w:rPr>
        <w:t>bestemmende indflydelse</w:t>
      </w:r>
      <w:r w:rsidR="00C92852" w:rsidRPr="00815B3E">
        <w:rPr>
          <w:color w:val="000000" w:themeColor="text1"/>
        </w:rPr>
        <w:t xml:space="preserve"> </w:t>
      </w:r>
      <w:r w:rsidRPr="00815B3E">
        <w:rPr>
          <w:color w:val="000000" w:themeColor="text1"/>
        </w:rPr>
        <w:t xml:space="preserve">ejerskab eller rådighed over stemmerettigheder, således at der direkte eller indirekte ejes mere end 50 pct. af aktiekapitalen eller rådes over mere end 50 pct. af stemmerne. </w:t>
      </w:r>
    </w:p>
    <w:p w14:paraId="611BE167" w14:textId="22BB5EDC" w:rsidR="00B9459B" w:rsidRPr="00815B3E" w:rsidRDefault="00B9459B" w:rsidP="00B9459B">
      <w:pPr>
        <w:spacing w:after="240"/>
        <w:rPr>
          <w:color w:val="000000" w:themeColor="text1"/>
        </w:rPr>
      </w:pPr>
      <w:r w:rsidRPr="00815B3E">
        <w:rPr>
          <w:color w:val="000000" w:themeColor="text1"/>
        </w:rPr>
        <w:t xml:space="preserve">Ved bedømmelsen af, om den skattepligtige anses for at have bestemmende indflydelse på en juridisk person, eller om der udøves en bestemmende indflydelse over den skattepligtige af en juridisk eller fysisk person, medregnes aktier og stemmerettigheder, som indehaves af koncernforbundne selskaber af personlige aktionærer og deres nærtstående eller af en fond eller trust stiftet af moderselskabet selv eller af de nævnte koncernforbundne selskaber, nærtstående m.v. eller af fonde eller truster stiftet af disse. Tilsvarende medregnes ejerandele og stemmerettigheder, som indehaves af andre selskabsdeltagere, med hvem selskabsdeltageren har en aftale om udøvelse af fælles bestemmende indflydelse. Tilsvarende medregnes ejerandele og stemmerettigheder, som indehaves af en person omfattet af kildeskattelovens § 1 eller </w:t>
      </w:r>
      <w:r w:rsidRPr="00815B3E">
        <w:rPr>
          <w:color w:val="000000" w:themeColor="text1"/>
        </w:rPr>
        <w:lastRenderedPageBreak/>
        <w:t xml:space="preserve">et dødsbo omfattet af dødsboskattelovens § 1, stk. 2, i fællesskab med nærtstående eller i fællesskab med en fond eller trust stiftet af den skattepligtige eller dennes nærtstående eller fonde eller truster stiftet af disse. </w:t>
      </w:r>
    </w:p>
    <w:p w14:paraId="05A31A31" w14:textId="00E241D7" w:rsidR="00B9459B" w:rsidRPr="00815B3E" w:rsidRDefault="00EF2C10" w:rsidP="00B9459B">
      <w:pPr>
        <w:spacing w:after="240"/>
        <w:rPr>
          <w:color w:val="000000" w:themeColor="text1"/>
        </w:rPr>
      </w:pPr>
      <w:r w:rsidRPr="00815B3E">
        <w:rPr>
          <w:color w:val="000000" w:themeColor="text1"/>
        </w:rPr>
        <w:t xml:space="preserve">Endvidere </w:t>
      </w:r>
      <w:r w:rsidR="00B9459B" w:rsidRPr="00815B3E">
        <w:rPr>
          <w:color w:val="000000" w:themeColor="text1"/>
        </w:rPr>
        <w:t xml:space="preserve">fremgår det af ligningslovens § 2, stk. 3, at ved koncernforbundne juridiske personer forstås juridiske personer, hvor samme kreds af selskabsdeltagere har bestemmende indflydelse, eller hvor der er fælles ledelse. </w:t>
      </w:r>
    </w:p>
    <w:p w14:paraId="57BA6F4A" w14:textId="4354AECF" w:rsidR="00DD2A01" w:rsidRPr="00815B3E" w:rsidRDefault="00B9459B" w:rsidP="00673631">
      <w:pPr>
        <w:spacing w:after="240"/>
        <w:rPr>
          <w:rFonts w:cs="Times New Roman"/>
          <w:color w:val="000000" w:themeColor="text1"/>
          <w:szCs w:val="28"/>
        </w:rPr>
      </w:pPr>
      <w:r w:rsidRPr="00815B3E">
        <w:rPr>
          <w:rFonts w:cs="Times New Roman"/>
          <w:color w:val="000000" w:themeColor="text1"/>
          <w:szCs w:val="28"/>
        </w:rPr>
        <w:t xml:space="preserve">Det foreslås, at såfremt kredsen af </w:t>
      </w:r>
      <w:r w:rsidR="004843EA" w:rsidRPr="00815B3E">
        <w:rPr>
          <w:rFonts w:cs="Times New Roman"/>
          <w:color w:val="000000" w:themeColor="text1"/>
          <w:szCs w:val="28"/>
        </w:rPr>
        <w:t>selskaber</w:t>
      </w:r>
      <w:r w:rsidRPr="00815B3E">
        <w:rPr>
          <w:rFonts w:cs="Times New Roman"/>
          <w:color w:val="000000" w:themeColor="text1"/>
          <w:szCs w:val="28"/>
        </w:rPr>
        <w:t xml:space="preserve">, der har en forbindelse som nævnt i ligningslovens § 2, samlet set ejer ejendomme til en </w:t>
      </w:r>
      <w:r w:rsidR="00CC7A5D" w:rsidRPr="00815B3E">
        <w:rPr>
          <w:rFonts w:cs="Times New Roman"/>
          <w:color w:val="000000" w:themeColor="text1"/>
          <w:szCs w:val="28"/>
        </w:rPr>
        <w:t>handels</w:t>
      </w:r>
      <w:r w:rsidRPr="00815B3E">
        <w:rPr>
          <w:rFonts w:cs="Times New Roman"/>
          <w:color w:val="000000" w:themeColor="text1"/>
          <w:szCs w:val="28"/>
        </w:rPr>
        <w:t xml:space="preserve">værdi </w:t>
      </w:r>
      <w:r w:rsidR="003E52D0">
        <w:rPr>
          <w:rFonts w:cs="Times New Roman"/>
          <w:color w:val="000000" w:themeColor="text1"/>
          <w:szCs w:val="28"/>
        </w:rPr>
        <w:t>der overstiger</w:t>
      </w:r>
      <w:r w:rsidRPr="00815B3E">
        <w:rPr>
          <w:rFonts w:cs="Times New Roman"/>
          <w:color w:val="000000" w:themeColor="text1"/>
          <w:szCs w:val="28"/>
        </w:rPr>
        <w:t xml:space="preserve"> 100 mio. kr., der i overvejende omfang udlejes, så vil den skattepligtige være omfattet af de</w:t>
      </w:r>
      <w:r w:rsidR="00C92852" w:rsidRPr="00815B3E">
        <w:rPr>
          <w:rFonts w:cs="Times New Roman"/>
          <w:color w:val="000000" w:themeColor="text1"/>
          <w:szCs w:val="28"/>
        </w:rPr>
        <w:t>n</w:t>
      </w:r>
      <w:r w:rsidRPr="00815B3E">
        <w:rPr>
          <w:rFonts w:cs="Times New Roman"/>
          <w:color w:val="000000" w:themeColor="text1"/>
          <w:szCs w:val="28"/>
        </w:rPr>
        <w:t xml:space="preserve"> foreslåede </w:t>
      </w:r>
      <w:r w:rsidR="00C92852" w:rsidRPr="00815B3E">
        <w:rPr>
          <w:rFonts w:cs="Times New Roman"/>
          <w:color w:val="000000" w:themeColor="text1"/>
          <w:szCs w:val="28"/>
        </w:rPr>
        <w:t xml:space="preserve">lagerbeskatning i </w:t>
      </w:r>
      <w:r w:rsidRPr="00815B3E">
        <w:rPr>
          <w:rFonts w:cs="Times New Roman"/>
          <w:color w:val="000000" w:themeColor="text1"/>
          <w:szCs w:val="28"/>
        </w:rPr>
        <w:t xml:space="preserve">kapitel 3 i ejendomsavancebeskatningsloven. Hvorvidt de interesseforbundne </w:t>
      </w:r>
      <w:r w:rsidR="00137AEB" w:rsidRPr="00815B3E">
        <w:rPr>
          <w:rFonts w:cs="Times New Roman"/>
          <w:color w:val="000000" w:themeColor="text1"/>
          <w:szCs w:val="28"/>
        </w:rPr>
        <w:t>selskaber</w:t>
      </w:r>
      <w:r w:rsidRPr="00815B3E">
        <w:rPr>
          <w:rFonts w:cs="Times New Roman"/>
          <w:color w:val="000000" w:themeColor="text1"/>
          <w:szCs w:val="28"/>
        </w:rPr>
        <w:t xml:space="preserve"> </w:t>
      </w:r>
      <w:r w:rsidR="00137AEB" w:rsidRPr="00815B3E">
        <w:rPr>
          <w:rFonts w:cs="Times New Roman"/>
          <w:color w:val="000000" w:themeColor="text1"/>
          <w:szCs w:val="28"/>
        </w:rPr>
        <w:t>ejer</w:t>
      </w:r>
      <w:r w:rsidRPr="00815B3E">
        <w:rPr>
          <w:rFonts w:cs="Times New Roman"/>
          <w:color w:val="000000" w:themeColor="text1"/>
          <w:szCs w:val="28"/>
        </w:rPr>
        <w:t xml:space="preserve"> ejendomme, der i overvejende omfang udlejes</w:t>
      </w:r>
      <w:r w:rsidR="00CC7A5D" w:rsidRPr="00815B3E">
        <w:rPr>
          <w:rFonts w:cs="Times New Roman"/>
          <w:color w:val="000000" w:themeColor="text1"/>
          <w:szCs w:val="28"/>
        </w:rPr>
        <w:t>, skal vurderes på samme måde, som det foreslå</w:t>
      </w:r>
      <w:r w:rsidR="00517EC2" w:rsidRPr="00815B3E">
        <w:rPr>
          <w:rFonts w:cs="Times New Roman"/>
          <w:color w:val="000000" w:themeColor="text1"/>
          <w:szCs w:val="28"/>
        </w:rPr>
        <w:t xml:space="preserve">s i ejendomsavancebeskatningslovens </w:t>
      </w:r>
      <w:r w:rsidR="00CC7A5D" w:rsidRPr="00815B3E">
        <w:rPr>
          <w:rFonts w:cs="Times New Roman"/>
          <w:color w:val="000000" w:themeColor="text1"/>
          <w:szCs w:val="28"/>
        </w:rPr>
        <w:t>§ 14, stk. 1, nr. 1</w:t>
      </w:r>
      <w:r w:rsidR="00517EC2" w:rsidRPr="00815B3E">
        <w:rPr>
          <w:rFonts w:cs="Times New Roman"/>
          <w:color w:val="000000" w:themeColor="text1"/>
          <w:szCs w:val="28"/>
        </w:rPr>
        <w:t>,</w:t>
      </w:r>
      <w:r w:rsidR="00CC7A5D" w:rsidRPr="00815B3E">
        <w:rPr>
          <w:rFonts w:cs="Times New Roman"/>
          <w:color w:val="000000" w:themeColor="text1"/>
          <w:szCs w:val="28"/>
        </w:rPr>
        <w:t xml:space="preserve"> jf. </w:t>
      </w:r>
      <w:r w:rsidR="00517EC2" w:rsidRPr="00815B3E">
        <w:rPr>
          <w:rFonts w:cs="Times New Roman"/>
          <w:color w:val="000000" w:themeColor="text1"/>
          <w:szCs w:val="28"/>
        </w:rPr>
        <w:t>stk. 2</w:t>
      </w:r>
      <w:r w:rsidR="00CC7A5D" w:rsidRPr="00815B3E">
        <w:rPr>
          <w:rFonts w:cs="Times New Roman"/>
          <w:color w:val="000000" w:themeColor="text1"/>
          <w:szCs w:val="28"/>
        </w:rPr>
        <w:t xml:space="preserve">. </w:t>
      </w:r>
    </w:p>
    <w:p w14:paraId="5CAAE8AF" w14:textId="6266BDA8" w:rsidR="00137AEB" w:rsidRPr="00815B3E" w:rsidRDefault="00CC7A5D" w:rsidP="00673631">
      <w:pPr>
        <w:spacing w:after="240"/>
        <w:rPr>
          <w:rFonts w:cs="Times New Roman"/>
          <w:color w:val="000000" w:themeColor="text1"/>
          <w:szCs w:val="28"/>
        </w:rPr>
      </w:pPr>
      <w:r w:rsidRPr="00815B3E">
        <w:rPr>
          <w:rFonts w:cs="Times New Roman"/>
          <w:color w:val="000000" w:themeColor="text1"/>
          <w:szCs w:val="28"/>
        </w:rPr>
        <w:t>Opgørelsen</w:t>
      </w:r>
      <w:r w:rsidR="00517EC2" w:rsidRPr="00815B3E">
        <w:rPr>
          <w:rFonts w:cs="Times New Roman"/>
          <w:color w:val="000000" w:themeColor="text1"/>
          <w:szCs w:val="28"/>
        </w:rPr>
        <w:t xml:space="preserve"> af værdien af ejendommene</w:t>
      </w:r>
      <w:r w:rsidRPr="00815B3E">
        <w:rPr>
          <w:rFonts w:cs="Times New Roman"/>
          <w:color w:val="000000" w:themeColor="text1"/>
          <w:szCs w:val="28"/>
        </w:rPr>
        <w:t xml:space="preserve"> skal ske til handelsværdien for alle de ejendomme</w:t>
      </w:r>
      <w:r w:rsidR="0020694E" w:rsidRPr="00815B3E">
        <w:rPr>
          <w:rFonts w:cs="Times New Roman"/>
          <w:color w:val="000000" w:themeColor="text1"/>
          <w:szCs w:val="28"/>
        </w:rPr>
        <w:t>, der i interessefællesskabet</w:t>
      </w:r>
      <w:r w:rsidR="00665F86" w:rsidRPr="00815B3E">
        <w:rPr>
          <w:rFonts w:cs="Times New Roman"/>
          <w:color w:val="000000" w:themeColor="text1"/>
          <w:szCs w:val="28"/>
        </w:rPr>
        <w:t xml:space="preserve"> udlejes</w:t>
      </w:r>
      <w:r w:rsidR="0020694E" w:rsidRPr="00815B3E">
        <w:rPr>
          <w:rFonts w:cs="Times New Roman"/>
          <w:color w:val="000000" w:themeColor="text1"/>
          <w:szCs w:val="28"/>
        </w:rPr>
        <w:t xml:space="preserve"> </w:t>
      </w:r>
      <w:r w:rsidRPr="00815B3E">
        <w:rPr>
          <w:rFonts w:cs="Times New Roman"/>
          <w:color w:val="000000" w:themeColor="text1"/>
          <w:szCs w:val="28"/>
        </w:rPr>
        <w:t>i overvejende omfang</w:t>
      </w:r>
      <w:r w:rsidR="007442D5" w:rsidRPr="00815B3E">
        <w:rPr>
          <w:rFonts w:cs="Times New Roman"/>
          <w:color w:val="000000" w:themeColor="text1"/>
          <w:szCs w:val="28"/>
        </w:rPr>
        <w:t>, og handelsværdien skal overstige 100 mio. kr. både ved indkomstårets begyndelse og ved indkomstårets udløb. Det vil sige, at en ejendomsportefølje, der ved indkomstårets begyndelse har en handelsværdi på 100 mio. kr., men som ved indkomstårets udløb har en handelsværdi på 90 mio. kr.</w:t>
      </w:r>
      <w:r w:rsidR="00517EC2" w:rsidRPr="00815B3E">
        <w:rPr>
          <w:rFonts w:cs="Times New Roman"/>
          <w:color w:val="000000" w:themeColor="text1"/>
          <w:szCs w:val="28"/>
        </w:rPr>
        <w:t>,</w:t>
      </w:r>
      <w:r w:rsidR="007442D5" w:rsidRPr="00815B3E">
        <w:rPr>
          <w:rFonts w:cs="Times New Roman"/>
          <w:color w:val="000000" w:themeColor="text1"/>
          <w:szCs w:val="28"/>
        </w:rPr>
        <w:t xml:space="preserve"> ikke </w:t>
      </w:r>
      <w:r w:rsidR="00517EC2" w:rsidRPr="00815B3E">
        <w:rPr>
          <w:rFonts w:cs="Times New Roman"/>
          <w:color w:val="000000" w:themeColor="text1"/>
          <w:szCs w:val="28"/>
        </w:rPr>
        <w:t>vil opfylde betingelserne for at blive lagerbeskattet efter</w:t>
      </w:r>
      <w:r w:rsidR="007442D5" w:rsidRPr="00815B3E">
        <w:rPr>
          <w:rFonts w:cs="Times New Roman"/>
          <w:color w:val="000000" w:themeColor="text1"/>
          <w:szCs w:val="28"/>
        </w:rPr>
        <w:t xml:space="preserve"> de foreslåede regler.</w:t>
      </w:r>
    </w:p>
    <w:p w14:paraId="4EE4AC0A" w14:textId="4AFC7364" w:rsidR="00137AEB" w:rsidRPr="00815B3E" w:rsidRDefault="00137AEB" w:rsidP="00673631">
      <w:pPr>
        <w:spacing w:after="240"/>
        <w:rPr>
          <w:rFonts w:eastAsia="Calibri" w:cs="Times New Roman"/>
          <w:bCs/>
          <w:color w:val="000000" w:themeColor="text1"/>
          <w:szCs w:val="24"/>
        </w:rPr>
      </w:pPr>
      <w:r w:rsidRPr="00815B3E">
        <w:rPr>
          <w:rFonts w:cs="Times New Roman"/>
          <w:color w:val="000000" w:themeColor="text1"/>
          <w:szCs w:val="28"/>
        </w:rPr>
        <w:t xml:space="preserve">Det foreslås i </w:t>
      </w:r>
      <w:r w:rsidR="009C3102" w:rsidRPr="00815B3E">
        <w:rPr>
          <w:rFonts w:cs="Times New Roman"/>
          <w:color w:val="000000" w:themeColor="text1"/>
          <w:szCs w:val="28"/>
        </w:rPr>
        <w:t>ejendomsavancebeskatningsloven</w:t>
      </w:r>
      <w:r w:rsidRPr="00815B3E">
        <w:rPr>
          <w:rFonts w:cs="Times New Roman"/>
          <w:color w:val="000000" w:themeColor="text1"/>
          <w:szCs w:val="28"/>
        </w:rPr>
        <w:t xml:space="preserve"> </w:t>
      </w:r>
      <w:r w:rsidRPr="00815B3E">
        <w:rPr>
          <w:rFonts w:cs="Times New Roman"/>
          <w:i/>
          <w:iCs/>
          <w:color w:val="000000" w:themeColor="text1"/>
          <w:szCs w:val="28"/>
        </w:rPr>
        <w:t>§ 14, stk. 1,</w:t>
      </w:r>
      <w:r w:rsidR="005565E7">
        <w:rPr>
          <w:rFonts w:cs="Times New Roman"/>
          <w:i/>
          <w:iCs/>
          <w:color w:val="000000" w:themeColor="text1"/>
          <w:szCs w:val="28"/>
        </w:rPr>
        <w:t xml:space="preserve"> nr. 2,</w:t>
      </w:r>
      <w:r w:rsidRPr="00815B3E">
        <w:rPr>
          <w:rFonts w:cs="Times New Roman"/>
          <w:i/>
          <w:iCs/>
          <w:color w:val="000000" w:themeColor="text1"/>
          <w:szCs w:val="28"/>
        </w:rPr>
        <w:t xml:space="preserve"> 3. pkt., </w:t>
      </w:r>
      <w:r w:rsidRPr="00815B3E">
        <w:rPr>
          <w:rFonts w:cs="Times New Roman"/>
          <w:color w:val="000000" w:themeColor="text1"/>
          <w:szCs w:val="28"/>
        </w:rPr>
        <w:t>at h</w:t>
      </w:r>
      <w:r w:rsidRPr="00815B3E">
        <w:rPr>
          <w:rFonts w:eastAsia="Calibri" w:cs="Times New Roman"/>
          <w:bCs/>
          <w:color w:val="000000" w:themeColor="text1"/>
          <w:szCs w:val="24"/>
        </w:rPr>
        <w:t xml:space="preserve">vis indkomståret for et interesseforbundet selskab ikke udløber på samme tidspunkt som indkomståret for den skattepligtige selv, så anvendes udløbet af det indkomstår for det interesseforbundne selskab, som træder i stedet for den skattepligtiges indkomstår, ved opgørelsen af værdien af porteføljen af værdien af udlejningsejendomme. </w:t>
      </w:r>
    </w:p>
    <w:p w14:paraId="169890B7" w14:textId="6FF47D17" w:rsidR="00DD4C32" w:rsidRPr="00815B3E" w:rsidRDefault="00137AEB" w:rsidP="001B6804">
      <w:pPr>
        <w:spacing w:after="240"/>
        <w:rPr>
          <w:rFonts w:eastAsia="Calibri" w:cs="Times New Roman"/>
          <w:bCs/>
          <w:color w:val="000000" w:themeColor="text1"/>
          <w:szCs w:val="24"/>
        </w:rPr>
      </w:pPr>
      <w:r w:rsidRPr="00815B3E">
        <w:rPr>
          <w:rFonts w:eastAsia="Calibri" w:cs="Times New Roman"/>
          <w:bCs/>
          <w:color w:val="000000" w:themeColor="text1"/>
          <w:szCs w:val="24"/>
        </w:rPr>
        <w:t>Det indebærer eksempelvis, at hvis</w:t>
      </w:r>
      <w:r w:rsidR="001475DC" w:rsidRPr="00815B3E">
        <w:rPr>
          <w:rFonts w:eastAsia="Calibri" w:cs="Times New Roman"/>
          <w:bCs/>
          <w:color w:val="000000" w:themeColor="text1"/>
          <w:szCs w:val="24"/>
        </w:rPr>
        <w:t xml:space="preserve"> den skattepligtiges eget indkomstår følger kalenderåret, mens </w:t>
      </w:r>
      <w:r w:rsidRPr="00815B3E">
        <w:rPr>
          <w:rFonts w:eastAsia="Calibri" w:cs="Times New Roman"/>
          <w:bCs/>
          <w:color w:val="000000" w:themeColor="text1"/>
          <w:szCs w:val="24"/>
        </w:rPr>
        <w:t>indkomståret 202</w:t>
      </w:r>
      <w:r w:rsidR="001475DC" w:rsidRPr="00815B3E">
        <w:rPr>
          <w:rFonts w:eastAsia="Calibri" w:cs="Times New Roman"/>
          <w:bCs/>
          <w:color w:val="000000" w:themeColor="text1"/>
          <w:szCs w:val="24"/>
        </w:rPr>
        <w:t>3</w:t>
      </w:r>
      <w:r w:rsidRPr="00815B3E">
        <w:rPr>
          <w:rFonts w:eastAsia="Calibri" w:cs="Times New Roman"/>
          <w:bCs/>
          <w:color w:val="000000" w:themeColor="text1"/>
          <w:szCs w:val="24"/>
        </w:rPr>
        <w:t xml:space="preserve"> for et interesseforbund</w:t>
      </w:r>
      <w:r w:rsidR="001475DC" w:rsidRPr="00815B3E">
        <w:rPr>
          <w:rFonts w:eastAsia="Calibri" w:cs="Times New Roman"/>
          <w:bCs/>
          <w:color w:val="000000" w:themeColor="text1"/>
          <w:szCs w:val="24"/>
        </w:rPr>
        <w:t>et</w:t>
      </w:r>
      <w:r w:rsidRPr="00815B3E">
        <w:rPr>
          <w:rFonts w:eastAsia="Calibri" w:cs="Times New Roman"/>
          <w:bCs/>
          <w:color w:val="000000" w:themeColor="text1"/>
          <w:szCs w:val="24"/>
        </w:rPr>
        <w:t xml:space="preserve"> selskab begynder den 1. </w:t>
      </w:r>
      <w:r w:rsidR="00DD4C32" w:rsidRPr="00815B3E">
        <w:rPr>
          <w:rFonts w:eastAsia="Calibri" w:cs="Times New Roman"/>
          <w:bCs/>
          <w:color w:val="000000" w:themeColor="text1"/>
          <w:szCs w:val="24"/>
        </w:rPr>
        <w:t>februar</w:t>
      </w:r>
      <w:r w:rsidRPr="00815B3E">
        <w:rPr>
          <w:rFonts w:eastAsia="Calibri" w:cs="Times New Roman"/>
          <w:bCs/>
          <w:color w:val="000000" w:themeColor="text1"/>
          <w:szCs w:val="24"/>
        </w:rPr>
        <w:t xml:space="preserve"> 202</w:t>
      </w:r>
      <w:r w:rsidR="001475DC" w:rsidRPr="00815B3E">
        <w:rPr>
          <w:rFonts w:eastAsia="Calibri" w:cs="Times New Roman"/>
          <w:bCs/>
          <w:color w:val="000000" w:themeColor="text1"/>
          <w:szCs w:val="24"/>
        </w:rPr>
        <w:t>3</w:t>
      </w:r>
      <w:r w:rsidRPr="00815B3E">
        <w:rPr>
          <w:rFonts w:eastAsia="Calibri" w:cs="Times New Roman"/>
          <w:bCs/>
          <w:color w:val="000000" w:themeColor="text1"/>
          <w:szCs w:val="24"/>
        </w:rPr>
        <w:t xml:space="preserve"> og udløber den </w:t>
      </w:r>
      <w:r w:rsidR="001475DC" w:rsidRPr="00815B3E">
        <w:rPr>
          <w:rFonts w:eastAsia="Calibri" w:cs="Times New Roman"/>
          <w:bCs/>
          <w:color w:val="000000" w:themeColor="text1"/>
          <w:szCs w:val="24"/>
        </w:rPr>
        <w:t>3</w:t>
      </w:r>
      <w:r w:rsidR="00DD4C32" w:rsidRPr="00815B3E">
        <w:rPr>
          <w:rFonts w:eastAsia="Calibri" w:cs="Times New Roman"/>
          <w:bCs/>
          <w:color w:val="000000" w:themeColor="text1"/>
          <w:szCs w:val="24"/>
        </w:rPr>
        <w:t>1. januar</w:t>
      </w:r>
      <w:r w:rsidR="001475DC" w:rsidRPr="00815B3E">
        <w:rPr>
          <w:rFonts w:eastAsia="Calibri" w:cs="Times New Roman"/>
          <w:bCs/>
          <w:color w:val="000000" w:themeColor="text1"/>
          <w:szCs w:val="24"/>
        </w:rPr>
        <w:t xml:space="preserve"> 2024, så måles den samlede værdi af selskabernes udlejningsejendomme ved udløbet af indkomståret 2023 som værdien af den skattepligtiges egne udlejningsejendomme pr. </w:t>
      </w:r>
      <w:r w:rsidR="00117BA7" w:rsidRPr="00815B3E">
        <w:rPr>
          <w:rFonts w:eastAsia="Calibri" w:cs="Times New Roman"/>
          <w:bCs/>
          <w:color w:val="000000" w:themeColor="text1"/>
          <w:szCs w:val="24"/>
        </w:rPr>
        <w:t>3</w:t>
      </w:r>
      <w:r w:rsidR="001475DC" w:rsidRPr="00815B3E">
        <w:rPr>
          <w:rFonts w:eastAsia="Calibri" w:cs="Times New Roman"/>
          <w:bCs/>
          <w:color w:val="000000" w:themeColor="text1"/>
          <w:szCs w:val="24"/>
        </w:rPr>
        <w:t xml:space="preserve">1. </w:t>
      </w:r>
      <w:r w:rsidR="00117BA7" w:rsidRPr="00815B3E">
        <w:rPr>
          <w:rFonts w:eastAsia="Calibri" w:cs="Times New Roman"/>
          <w:bCs/>
          <w:color w:val="000000" w:themeColor="text1"/>
          <w:szCs w:val="24"/>
        </w:rPr>
        <w:t>december</w:t>
      </w:r>
      <w:r w:rsidR="001475DC" w:rsidRPr="00815B3E">
        <w:rPr>
          <w:rFonts w:eastAsia="Calibri" w:cs="Times New Roman"/>
          <w:bCs/>
          <w:color w:val="000000" w:themeColor="text1"/>
          <w:szCs w:val="24"/>
        </w:rPr>
        <w:t xml:space="preserve"> 2023 </w:t>
      </w:r>
      <w:r w:rsidR="00DD4C32" w:rsidRPr="00815B3E">
        <w:rPr>
          <w:rFonts w:eastAsia="Calibri" w:cs="Times New Roman"/>
          <w:bCs/>
          <w:color w:val="000000" w:themeColor="text1"/>
          <w:szCs w:val="24"/>
        </w:rPr>
        <w:t xml:space="preserve">med tillæg af </w:t>
      </w:r>
      <w:r w:rsidR="001475DC" w:rsidRPr="00815B3E">
        <w:rPr>
          <w:rFonts w:eastAsia="Calibri" w:cs="Times New Roman"/>
          <w:bCs/>
          <w:color w:val="000000" w:themeColor="text1"/>
          <w:szCs w:val="24"/>
        </w:rPr>
        <w:t xml:space="preserve">summen af det interesseforbundne selskabs udlejningsejendomme pr. den </w:t>
      </w:r>
      <w:r w:rsidR="00117BA7" w:rsidRPr="00815B3E">
        <w:rPr>
          <w:rFonts w:eastAsia="Calibri" w:cs="Times New Roman"/>
          <w:bCs/>
          <w:color w:val="000000" w:themeColor="text1"/>
          <w:szCs w:val="24"/>
        </w:rPr>
        <w:t>3</w:t>
      </w:r>
      <w:r w:rsidR="00DD4C32" w:rsidRPr="00815B3E">
        <w:rPr>
          <w:rFonts w:eastAsia="Calibri" w:cs="Times New Roman"/>
          <w:bCs/>
          <w:color w:val="000000" w:themeColor="text1"/>
          <w:szCs w:val="24"/>
        </w:rPr>
        <w:t>1. januar</w:t>
      </w:r>
      <w:r w:rsidR="00117BA7" w:rsidRPr="00815B3E">
        <w:rPr>
          <w:rFonts w:eastAsia="Calibri" w:cs="Times New Roman"/>
          <w:bCs/>
          <w:color w:val="000000" w:themeColor="text1"/>
          <w:szCs w:val="24"/>
        </w:rPr>
        <w:t xml:space="preserve"> 2024</w:t>
      </w:r>
      <w:r w:rsidR="001475DC" w:rsidRPr="00815B3E">
        <w:rPr>
          <w:rFonts w:eastAsia="Calibri" w:cs="Times New Roman"/>
          <w:bCs/>
          <w:color w:val="000000" w:themeColor="text1"/>
          <w:szCs w:val="24"/>
        </w:rPr>
        <w:t>.</w:t>
      </w:r>
      <w:r w:rsidR="00DD4C32" w:rsidRPr="00815B3E">
        <w:rPr>
          <w:rFonts w:eastAsia="Calibri" w:cs="Times New Roman"/>
          <w:bCs/>
          <w:color w:val="000000" w:themeColor="text1"/>
          <w:szCs w:val="24"/>
        </w:rPr>
        <w:t xml:space="preserve"> </w:t>
      </w:r>
    </w:p>
    <w:p w14:paraId="69F692D0" w14:textId="116FCD79" w:rsidR="00DD4C32" w:rsidRPr="00815B3E" w:rsidRDefault="00DD4C32" w:rsidP="00673631">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Hvis den totale sum af værdien af ejendomme, der udlejes i overvejende omfang, overstiger 100 mio. kr. ved udløbet af indkomståret 2023, vil de </w:t>
      </w:r>
      <w:r w:rsidRPr="00815B3E">
        <w:rPr>
          <w:rFonts w:eastAsia="Calibri" w:cs="Times New Roman"/>
          <w:bCs/>
          <w:color w:val="000000" w:themeColor="text1"/>
          <w:szCs w:val="24"/>
        </w:rPr>
        <w:lastRenderedPageBreak/>
        <w:t>udlejningsejendomme, som den skattepligtige ejer, være omfattet af den foreslåede lagerbeskatning.</w:t>
      </w:r>
      <w:r w:rsidR="00117BA7" w:rsidRPr="00815B3E">
        <w:rPr>
          <w:rFonts w:eastAsia="Calibri" w:cs="Times New Roman"/>
          <w:bCs/>
          <w:color w:val="000000" w:themeColor="text1"/>
          <w:szCs w:val="24"/>
        </w:rPr>
        <w:t xml:space="preserve"> </w:t>
      </w:r>
    </w:p>
    <w:p w14:paraId="6049AB60" w14:textId="092A6703" w:rsidR="007442D5" w:rsidRPr="00815B3E" w:rsidRDefault="00117BA7" w:rsidP="00673631">
      <w:pPr>
        <w:spacing w:after="240"/>
        <w:rPr>
          <w:rFonts w:cs="Times New Roman"/>
          <w:color w:val="000000" w:themeColor="text1"/>
          <w:szCs w:val="28"/>
        </w:rPr>
      </w:pPr>
      <w:r w:rsidRPr="00815B3E">
        <w:rPr>
          <w:rFonts w:eastAsia="Calibri" w:cs="Times New Roman"/>
          <w:bCs/>
          <w:color w:val="000000" w:themeColor="text1"/>
          <w:szCs w:val="24"/>
        </w:rPr>
        <w:t xml:space="preserve">Som følge af den foreslåede ikrafttrædelsesbestemmelse i lovforslagets § 7, vil der i værdiopgørelsen alene indgå værdi af udlejningsejendomme tilhørende selskaber, hvis indkomstår påbegynder den 1. januar 2023 eller senere. Ejendomme tilhørende et interesseforbundet selskab, hvis indkomstår 2023 er påbegyndt </w:t>
      </w:r>
      <w:r w:rsidR="00EE42EA" w:rsidRPr="00815B3E">
        <w:rPr>
          <w:rFonts w:eastAsia="Calibri" w:cs="Times New Roman"/>
          <w:bCs/>
          <w:color w:val="000000" w:themeColor="text1"/>
          <w:szCs w:val="24"/>
        </w:rPr>
        <w:t xml:space="preserve">f.eks. </w:t>
      </w:r>
      <w:r w:rsidRPr="00815B3E">
        <w:rPr>
          <w:rFonts w:eastAsia="Calibri" w:cs="Times New Roman"/>
          <w:bCs/>
          <w:color w:val="000000" w:themeColor="text1"/>
          <w:szCs w:val="24"/>
        </w:rPr>
        <w:t xml:space="preserve">den 1. oktober 2022, vil således efter forslaget ikke indgå i den skattepligtiges samlede opgørelse af ejendomsporteføljens værdi ved </w:t>
      </w:r>
      <w:r w:rsidR="002A1EB0">
        <w:rPr>
          <w:rFonts w:eastAsia="Calibri" w:cs="Times New Roman"/>
          <w:bCs/>
          <w:color w:val="000000" w:themeColor="text1"/>
          <w:szCs w:val="24"/>
        </w:rPr>
        <w:t>udløbet</w:t>
      </w:r>
      <w:r w:rsidRPr="00815B3E">
        <w:rPr>
          <w:rFonts w:eastAsia="Calibri" w:cs="Times New Roman"/>
          <w:bCs/>
          <w:color w:val="000000" w:themeColor="text1"/>
          <w:szCs w:val="24"/>
        </w:rPr>
        <w:t xml:space="preserve"> af indkomståret 2023, da indkomståret 2023 for det interesseforbundne selskab er påbegyndt før den 1. januar 2023. </w:t>
      </w:r>
    </w:p>
    <w:p w14:paraId="4899EEF5" w14:textId="1A633933" w:rsidR="007442D5" w:rsidRDefault="007442D5" w:rsidP="00673631">
      <w:pPr>
        <w:spacing w:after="240"/>
        <w:rPr>
          <w:rFonts w:cs="Times New Roman"/>
          <w:color w:val="000000" w:themeColor="text1"/>
          <w:szCs w:val="28"/>
        </w:rPr>
      </w:pPr>
      <w:r w:rsidRPr="00815B3E">
        <w:rPr>
          <w:rFonts w:cs="Times New Roman"/>
          <w:color w:val="000000" w:themeColor="text1"/>
          <w:szCs w:val="28"/>
        </w:rPr>
        <w:t>I de følgende figurer er angivet nogle ejerskabsstrukturer af en ejendomsportefølje og en beskrivelse af, hvorvidt ejendomme skal medgå i opgørelsen af de 100 mio. kr.</w:t>
      </w:r>
      <w:r w:rsidR="00EA4E3C" w:rsidRPr="00815B3E">
        <w:rPr>
          <w:rFonts w:cs="Times New Roman"/>
          <w:color w:val="000000" w:themeColor="text1"/>
          <w:szCs w:val="28"/>
        </w:rPr>
        <w:t xml:space="preserve"> Handelsværdierne antages at være både ved indkomstårets begyndelse og ved indkomstårets udløb.</w:t>
      </w:r>
      <w:r w:rsidRPr="00815B3E">
        <w:rPr>
          <w:rFonts w:cs="Times New Roman"/>
          <w:color w:val="000000" w:themeColor="text1"/>
          <w:szCs w:val="28"/>
        </w:rPr>
        <w:t xml:space="preserve"> </w:t>
      </w:r>
    </w:p>
    <w:p w14:paraId="6FAE0C85" w14:textId="04E497EB" w:rsidR="007442D5" w:rsidRPr="00815B3E" w:rsidRDefault="007442D5" w:rsidP="00673631">
      <w:pPr>
        <w:spacing w:after="240"/>
        <w:rPr>
          <w:rFonts w:cs="Times New Roman"/>
          <w:b/>
          <w:bCs/>
          <w:color w:val="000000" w:themeColor="text1"/>
          <w:szCs w:val="28"/>
        </w:rPr>
      </w:pPr>
      <w:r w:rsidRPr="00815B3E">
        <w:rPr>
          <w:rFonts w:cs="Times New Roman"/>
          <w:b/>
          <w:bCs/>
          <w:color w:val="000000" w:themeColor="text1"/>
          <w:szCs w:val="28"/>
        </w:rPr>
        <w:t>Figur 1</w:t>
      </w:r>
      <w:r w:rsidR="00EA4E3C" w:rsidRPr="00815B3E">
        <w:rPr>
          <w:rFonts w:cs="Times New Roman"/>
          <w:b/>
          <w:bCs/>
          <w:color w:val="000000" w:themeColor="text1"/>
          <w:szCs w:val="28"/>
        </w:rPr>
        <w:t xml:space="preserve"> – Opgørelse af udlejningsejendomme</w:t>
      </w:r>
    </w:p>
    <w:p w14:paraId="72355489" w14:textId="57C3C77D" w:rsidR="00CC7A5D" w:rsidRPr="00815B3E" w:rsidRDefault="00A7409D" w:rsidP="00673631">
      <w:pPr>
        <w:spacing w:after="240"/>
        <w:rPr>
          <w:rFonts w:cs="Times New Roman"/>
          <w:color w:val="000000" w:themeColor="text1"/>
          <w:szCs w:val="28"/>
        </w:rPr>
      </w:pPr>
      <w:r w:rsidRPr="00815B3E">
        <w:rPr>
          <w:rFonts w:cs="Times New Roman"/>
          <w:noProof/>
          <w:color w:val="000000" w:themeColor="text1"/>
          <w:szCs w:val="28"/>
        </w:rPr>
        <w:drawing>
          <wp:inline distT="0" distB="0" distL="0" distR="0" wp14:anchorId="2002F1DE" wp14:editId="5124CB5F">
            <wp:extent cx="4869542" cy="23622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3942" cy="2364335"/>
                    </a:xfrm>
                    <a:prstGeom prst="rect">
                      <a:avLst/>
                    </a:prstGeom>
                    <a:noFill/>
                  </pic:spPr>
                </pic:pic>
              </a:graphicData>
            </a:graphic>
          </wp:inline>
        </w:drawing>
      </w:r>
    </w:p>
    <w:p w14:paraId="086596D4" w14:textId="3ABE9F94" w:rsidR="00CC7A5D" w:rsidRPr="00815B3E" w:rsidRDefault="007442D5" w:rsidP="00673631">
      <w:pPr>
        <w:spacing w:after="240"/>
        <w:rPr>
          <w:rFonts w:cs="Times New Roman"/>
          <w:color w:val="000000" w:themeColor="text1"/>
          <w:szCs w:val="28"/>
        </w:rPr>
      </w:pPr>
      <w:r w:rsidRPr="00815B3E">
        <w:rPr>
          <w:rFonts w:cs="Times New Roman"/>
          <w:color w:val="000000" w:themeColor="text1"/>
          <w:szCs w:val="28"/>
        </w:rPr>
        <w:t xml:space="preserve">I figur 1 ses en koncern med 2 udlejningsejendomme til en samlet </w:t>
      </w:r>
      <w:r w:rsidR="00EA4E3C" w:rsidRPr="00815B3E">
        <w:rPr>
          <w:rFonts w:cs="Times New Roman"/>
          <w:color w:val="000000" w:themeColor="text1"/>
          <w:szCs w:val="28"/>
        </w:rPr>
        <w:t>handels</w:t>
      </w:r>
      <w:r w:rsidRPr="00815B3E">
        <w:rPr>
          <w:rFonts w:cs="Times New Roman"/>
          <w:color w:val="000000" w:themeColor="text1"/>
          <w:szCs w:val="28"/>
        </w:rPr>
        <w:t xml:space="preserve">værdi </w:t>
      </w:r>
      <w:r w:rsidR="00EA4E3C" w:rsidRPr="00815B3E">
        <w:rPr>
          <w:rFonts w:cs="Times New Roman"/>
          <w:color w:val="000000" w:themeColor="text1"/>
          <w:szCs w:val="28"/>
        </w:rPr>
        <w:t>på</w:t>
      </w:r>
      <w:r w:rsidRPr="00815B3E">
        <w:rPr>
          <w:rFonts w:cs="Times New Roman"/>
          <w:color w:val="000000" w:themeColor="text1"/>
          <w:szCs w:val="28"/>
        </w:rPr>
        <w:t xml:space="preserve"> 1</w:t>
      </w:r>
      <w:r w:rsidR="00A7409D" w:rsidRPr="00815B3E">
        <w:rPr>
          <w:rFonts w:cs="Times New Roman"/>
          <w:color w:val="000000" w:themeColor="text1"/>
          <w:szCs w:val="28"/>
        </w:rPr>
        <w:t>5</w:t>
      </w:r>
      <w:r w:rsidRPr="00815B3E">
        <w:rPr>
          <w:rFonts w:cs="Times New Roman"/>
          <w:color w:val="000000" w:themeColor="text1"/>
          <w:szCs w:val="28"/>
        </w:rPr>
        <w:t>0 mio. kr.</w:t>
      </w:r>
      <w:r w:rsidR="003E52D0">
        <w:rPr>
          <w:rFonts w:cs="Times New Roman"/>
          <w:color w:val="000000" w:themeColor="text1"/>
          <w:szCs w:val="28"/>
        </w:rPr>
        <w:t>,</w:t>
      </w:r>
      <w:r w:rsidR="00EA4E3C" w:rsidRPr="00815B3E">
        <w:rPr>
          <w:rFonts w:cs="Times New Roman"/>
          <w:color w:val="000000" w:themeColor="text1"/>
          <w:szCs w:val="28"/>
        </w:rPr>
        <w:t xml:space="preserve"> </w:t>
      </w:r>
      <w:r w:rsidRPr="00815B3E">
        <w:rPr>
          <w:rFonts w:cs="Times New Roman"/>
          <w:color w:val="000000" w:themeColor="text1"/>
          <w:szCs w:val="28"/>
        </w:rPr>
        <w:t xml:space="preserve">og en </w:t>
      </w:r>
      <w:r w:rsidR="00EA4E3C" w:rsidRPr="00815B3E">
        <w:rPr>
          <w:rFonts w:cs="Times New Roman"/>
          <w:color w:val="000000" w:themeColor="text1"/>
          <w:szCs w:val="28"/>
        </w:rPr>
        <w:t>ejendom der anvendes i egen drift til en handelsværdi på 50 mio. kr. Denne koncern vil</w:t>
      </w:r>
      <w:r w:rsidR="001C6B61">
        <w:rPr>
          <w:rFonts w:cs="Times New Roman"/>
          <w:color w:val="000000" w:themeColor="text1"/>
          <w:szCs w:val="28"/>
        </w:rPr>
        <w:t>,</w:t>
      </w:r>
      <w:r w:rsidR="00EA4E3C" w:rsidRPr="00815B3E">
        <w:rPr>
          <w:rFonts w:cs="Times New Roman"/>
          <w:color w:val="000000" w:themeColor="text1"/>
          <w:szCs w:val="28"/>
        </w:rPr>
        <w:t xml:space="preserve"> for så vidt angår ejendom A og ejendom B</w:t>
      </w:r>
      <w:r w:rsidR="001C6B61">
        <w:rPr>
          <w:rFonts w:cs="Times New Roman"/>
          <w:color w:val="000000" w:themeColor="text1"/>
          <w:szCs w:val="28"/>
        </w:rPr>
        <w:t>,</w:t>
      </w:r>
      <w:r w:rsidR="00EA4E3C" w:rsidRPr="00815B3E">
        <w:rPr>
          <w:rFonts w:cs="Times New Roman"/>
          <w:color w:val="000000" w:themeColor="text1"/>
          <w:szCs w:val="28"/>
        </w:rPr>
        <w:t xml:space="preserve"> være omfattet af de foreslåede regler om lagerbeskatning af selskabs mv. ejendomsavancer.</w:t>
      </w:r>
    </w:p>
    <w:p w14:paraId="011E2977" w14:textId="7263760D" w:rsidR="00EA4E3C" w:rsidRPr="00815B3E" w:rsidRDefault="00EA4E3C" w:rsidP="00673631">
      <w:pPr>
        <w:spacing w:after="240"/>
        <w:rPr>
          <w:rFonts w:cs="Times New Roman"/>
          <w:b/>
          <w:bCs/>
          <w:color w:val="000000" w:themeColor="text1"/>
          <w:szCs w:val="28"/>
        </w:rPr>
      </w:pPr>
      <w:r w:rsidRPr="00815B3E">
        <w:rPr>
          <w:rFonts w:cs="Times New Roman"/>
          <w:b/>
          <w:bCs/>
          <w:color w:val="000000" w:themeColor="text1"/>
          <w:szCs w:val="28"/>
        </w:rPr>
        <w:t>Figur 2 – Ejendomme ejes sammen med kreds af skattepligtige, der ikke er omfattet af ligningslovens § 2</w:t>
      </w:r>
    </w:p>
    <w:p w14:paraId="6CB4D56B" w14:textId="687B28F2" w:rsidR="00EA4E3C" w:rsidRPr="00815B3E" w:rsidRDefault="00BD4D7B" w:rsidP="00673631">
      <w:pPr>
        <w:spacing w:after="240"/>
        <w:rPr>
          <w:rFonts w:cs="Times New Roman"/>
          <w:color w:val="000000" w:themeColor="text1"/>
          <w:szCs w:val="28"/>
        </w:rPr>
      </w:pPr>
      <w:r w:rsidRPr="00815B3E">
        <w:rPr>
          <w:rFonts w:cs="Times New Roman"/>
          <w:noProof/>
          <w:color w:val="000000" w:themeColor="text1"/>
          <w:szCs w:val="28"/>
        </w:rPr>
        <w:lastRenderedPageBreak/>
        <w:drawing>
          <wp:inline distT="0" distB="0" distL="0" distR="0" wp14:anchorId="503C6A2C" wp14:editId="17F9E2B6">
            <wp:extent cx="4895850" cy="2713467"/>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1461" cy="2733204"/>
                    </a:xfrm>
                    <a:prstGeom prst="rect">
                      <a:avLst/>
                    </a:prstGeom>
                    <a:noFill/>
                  </pic:spPr>
                </pic:pic>
              </a:graphicData>
            </a:graphic>
          </wp:inline>
        </w:drawing>
      </w:r>
    </w:p>
    <w:p w14:paraId="2D0B6EAB" w14:textId="77777777" w:rsidR="003E52D0" w:rsidRDefault="003E52D0" w:rsidP="003E52D0">
      <w:pPr>
        <w:spacing w:after="240"/>
        <w:rPr>
          <w:rFonts w:cs="Times New Roman"/>
          <w:color w:val="000000" w:themeColor="text1"/>
          <w:szCs w:val="28"/>
        </w:rPr>
      </w:pPr>
      <w:r w:rsidRPr="00AA527C">
        <w:rPr>
          <w:rFonts w:cs="Times New Roman"/>
          <w:color w:val="000000" w:themeColor="text1"/>
          <w:szCs w:val="28"/>
        </w:rPr>
        <w:t>I figur 2 ses to koncerner med udlejningsejendomme</w:t>
      </w:r>
      <w:r>
        <w:rPr>
          <w:rFonts w:cs="Times New Roman"/>
          <w:color w:val="000000" w:themeColor="text1"/>
          <w:szCs w:val="28"/>
        </w:rPr>
        <w:t xml:space="preserve"> og en driftsejendom. E</w:t>
      </w:r>
      <w:r w:rsidRPr="00AA527C">
        <w:rPr>
          <w:rFonts w:cs="Times New Roman"/>
          <w:color w:val="000000" w:themeColor="text1"/>
          <w:szCs w:val="28"/>
        </w:rPr>
        <w:t>jendom B</w:t>
      </w:r>
      <w:r>
        <w:rPr>
          <w:rFonts w:cs="Times New Roman"/>
          <w:color w:val="000000" w:themeColor="text1"/>
          <w:szCs w:val="28"/>
        </w:rPr>
        <w:t xml:space="preserve"> ejes</w:t>
      </w:r>
      <w:r w:rsidRPr="00AA527C">
        <w:rPr>
          <w:rFonts w:cs="Times New Roman"/>
          <w:color w:val="000000" w:themeColor="text1"/>
          <w:szCs w:val="28"/>
        </w:rPr>
        <w:t xml:space="preserve"> </w:t>
      </w:r>
      <w:r>
        <w:rPr>
          <w:rFonts w:cs="Times New Roman"/>
          <w:color w:val="000000" w:themeColor="text1"/>
          <w:szCs w:val="28"/>
        </w:rPr>
        <w:t>indirekte</w:t>
      </w:r>
      <w:r w:rsidRPr="00AA527C">
        <w:rPr>
          <w:rFonts w:cs="Times New Roman"/>
          <w:color w:val="000000" w:themeColor="text1"/>
          <w:szCs w:val="28"/>
        </w:rPr>
        <w:t xml:space="preserve"> af begge holdingselskaber, men Holding AB ejer over 50 pct. og</w:t>
      </w:r>
      <w:r>
        <w:rPr>
          <w:rFonts w:cs="Times New Roman"/>
          <w:color w:val="000000" w:themeColor="text1"/>
          <w:szCs w:val="28"/>
        </w:rPr>
        <w:t xml:space="preserve"> har</w:t>
      </w:r>
      <w:r w:rsidRPr="00AA527C">
        <w:rPr>
          <w:rFonts w:cs="Times New Roman"/>
          <w:color w:val="000000" w:themeColor="text1"/>
          <w:szCs w:val="28"/>
        </w:rPr>
        <w:t xml:space="preserve"> derfor bestemmende indflydelse over selskab B. Aktionærerne i holdingselskaberne har i eksemplet ikke en forbindelse, som nævnt i ligningslovens § 2. </w:t>
      </w:r>
    </w:p>
    <w:p w14:paraId="2AA16EFD" w14:textId="74870458" w:rsidR="003E52D0" w:rsidRDefault="003E52D0" w:rsidP="003E52D0">
      <w:pPr>
        <w:spacing w:after="240"/>
        <w:rPr>
          <w:rFonts w:cs="Times New Roman"/>
          <w:color w:val="000000" w:themeColor="text1"/>
          <w:szCs w:val="28"/>
        </w:rPr>
      </w:pPr>
      <w:r w:rsidRPr="00AA527C">
        <w:rPr>
          <w:rFonts w:cs="Times New Roman"/>
          <w:color w:val="000000" w:themeColor="text1"/>
          <w:szCs w:val="28"/>
        </w:rPr>
        <w:t>I dette scenarie vil selskab A og selskab B begge være omfattet af lagerbeskatningen af deres ejendomsavancer</w:t>
      </w:r>
      <w:r>
        <w:rPr>
          <w:rFonts w:cs="Times New Roman"/>
          <w:color w:val="000000" w:themeColor="text1"/>
          <w:szCs w:val="28"/>
        </w:rPr>
        <w:t xml:space="preserve"> som følge af, at Holding AB har bestemmende indflydelse i begge selskaber, og da værdien af udlejningsejendommene udgør 150 mio. kr</w:t>
      </w:r>
      <w:r w:rsidRPr="00AA527C">
        <w:rPr>
          <w:rFonts w:cs="Times New Roman"/>
          <w:color w:val="000000" w:themeColor="text1"/>
          <w:szCs w:val="28"/>
        </w:rPr>
        <w:t xml:space="preserve">. </w:t>
      </w:r>
    </w:p>
    <w:p w14:paraId="0E2BA3B9" w14:textId="77777777" w:rsidR="003E52D0" w:rsidRDefault="003E52D0" w:rsidP="003E52D0">
      <w:pPr>
        <w:spacing w:after="240"/>
        <w:rPr>
          <w:rFonts w:cs="Times New Roman"/>
          <w:color w:val="000000" w:themeColor="text1"/>
          <w:szCs w:val="28"/>
        </w:rPr>
      </w:pPr>
      <w:r w:rsidRPr="00AA527C">
        <w:rPr>
          <w:rFonts w:cs="Times New Roman"/>
          <w:color w:val="000000" w:themeColor="text1"/>
          <w:szCs w:val="28"/>
        </w:rPr>
        <w:t>Selskab C er ikke omfattet</w:t>
      </w:r>
      <w:r>
        <w:rPr>
          <w:rFonts w:cs="Times New Roman"/>
          <w:color w:val="000000" w:themeColor="text1"/>
          <w:szCs w:val="28"/>
        </w:rPr>
        <w:t xml:space="preserve"> af lagerbeskatningen</w:t>
      </w:r>
      <w:r w:rsidRPr="00AA527C">
        <w:rPr>
          <w:rFonts w:cs="Times New Roman"/>
          <w:color w:val="000000" w:themeColor="text1"/>
          <w:szCs w:val="28"/>
        </w:rPr>
        <w:t xml:space="preserve">. </w:t>
      </w:r>
    </w:p>
    <w:p w14:paraId="3B34B272" w14:textId="7416164A" w:rsidR="003E52D0" w:rsidRPr="00AA527C" w:rsidRDefault="003E52D0" w:rsidP="003E52D0">
      <w:pPr>
        <w:spacing w:after="240"/>
        <w:rPr>
          <w:rFonts w:cs="Times New Roman"/>
          <w:color w:val="000000" w:themeColor="text1"/>
          <w:szCs w:val="28"/>
        </w:rPr>
      </w:pPr>
      <w:r w:rsidRPr="00AA527C">
        <w:rPr>
          <w:rFonts w:cs="Times New Roman"/>
          <w:color w:val="000000" w:themeColor="text1"/>
          <w:szCs w:val="28"/>
        </w:rPr>
        <w:t xml:space="preserve">Hvis derimod selskab B </w:t>
      </w:r>
      <w:r>
        <w:rPr>
          <w:rFonts w:cs="Times New Roman"/>
          <w:color w:val="000000" w:themeColor="text1"/>
          <w:szCs w:val="28"/>
        </w:rPr>
        <w:t>var</w:t>
      </w:r>
      <w:r w:rsidRPr="00AA527C">
        <w:rPr>
          <w:rFonts w:cs="Times New Roman"/>
          <w:color w:val="000000" w:themeColor="text1"/>
          <w:szCs w:val="28"/>
        </w:rPr>
        <w:t xml:space="preserve"> ejet med 51 </w:t>
      </w:r>
      <w:r w:rsidR="00D164A5">
        <w:rPr>
          <w:rFonts w:cs="Times New Roman"/>
          <w:color w:val="000000" w:themeColor="text1"/>
          <w:szCs w:val="28"/>
        </w:rPr>
        <w:t>pct.</w:t>
      </w:r>
      <w:r w:rsidR="00D164A5" w:rsidRPr="00AA527C">
        <w:rPr>
          <w:rFonts w:cs="Times New Roman"/>
          <w:color w:val="000000" w:themeColor="text1"/>
          <w:szCs w:val="28"/>
        </w:rPr>
        <w:t xml:space="preserve"> </w:t>
      </w:r>
      <w:r w:rsidRPr="00AA527C">
        <w:rPr>
          <w:rFonts w:cs="Times New Roman"/>
          <w:color w:val="000000" w:themeColor="text1"/>
          <w:szCs w:val="28"/>
        </w:rPr>
        <w:t xml:space="preserve">af Holding BC og 49 </w:t>
      </w:r>
      <w:r w:rsidR="00D164A5">
        <w:rPr>
          <w:rFonts w:cs="Times New Roman"/>
          <w:color w:val="000000" w:themeColor="text1"/>
          <w:szCs w:val="28"/>
        </w:rPr>
        <w:t>pct.</w:t>
      </w:r>
      <w:r w:rsidRPr="00AA527C">
        <w:rPr>
          <w:rFonts w:cs="Times New Roman"/>
          <w:color w:val="000000" w:themeColor="text1"/>
          <w:szCs w:val="28"/>
        </w:rPr>
        <w:t xml:space="preserve"> af Holding AB, så vil ingen af selskaberne være omfattet af lagerbeskatningen, da ingen af selskaberne i så fald vil</w:t>
      </w:r>
      <w:r>
        <w:rPr>
          <w:rFonts w:cs="Times New Roman"/>
          <w:color w:val="000000" w:themeColor="text1"/>
          <w:szCs w:val="28"/>
        </w:rPr>
        <w:t>le</w:t>
      </w:r>
      <w:r w:rsidRPr="00AA527C">
        <w:rPr>
          <w:rFonts w:cs="Times New Roman"/>
          <w:color w:val="000000" w:themeColor="text1"/>
          <w:szCs w:val="28"/>
        </w:rPr>
        <w:t xml:space="preserve"> have en samlet ejendomsportefølje på mere end</w:t>
      </w:r>
      <w:r w:rsidR="001C6B61">
        <w:rPr>
          <w:rFonts w:cs="Times New Roman"/>
          <w:color w:val="000000" w:themeColor="text1"/>
          <w:szCs w:val="28"/>
        </w:rPr>
        <w:t xml:space="preserve"> </w:t>
      </w:r>
      <w:r w:rsidRPr="00AA527C">
        <w:rPr>
          <w:rFonts w:cs="Times New Roman"/>
          <w:color w:val="000000" w:themeColor="text1"/>
          <w:szCs w:val="28"/>
        </w:rPr>
        <w:t xml:space="preserve">100 mio. kr.   </w:t>
      </w:r>
    </w:p>
    <w:p w14:paraId="6870AC43" w14:textId="2C541201" w:rsidR="00EA4E3C" w:rsidRPr="00815B3E" w:rsidRDefault="00EA4E3C" w:rsidP="00EA4E3C">
      <w:pPr>
        <w:spacing w:after="240"/>
        <w:rPr>
          <w:rFonts w:cs="Times New Roman"/>
          <w:b/>
          <w:bCs/>
          <w:color w:val="000000" w:themeColor="text1"/>
          <w:szCs w:val="28"/>
        </w:rPr>
      </w:pPr>
      <w:r w:rsidRPr="00815B3E">
        <w:rPr>
          <w:rFonts w:cs="Times New Roman"/>
          <w:b/>
          <w:bCs/>
          <w:color w:val="000000" w:themeColor="text1"/>
          <w:szCs w:val="28"/>
        </w:rPr>
        <w:t xml:space="preserve">Figur 3 – Ejendomme ejes </w:t>
      </w:r>
      <w:r w:rsidR="002A2411" w:rsidRPr="00815B3E">
        <w:rPr>
          <w:rFonts w:cs="Times New Roman"/>
          <w:b/>
          <w:bCs/>
          <w:color w:val="000000" w:themeColor="text1"/>
          <w:szCs w:val="28"/>
        </w:rPr>
        <w:t>af en</w:t>
      </w:r>
      <w:r w:rsidRPr="00815B3E">
        <w:rPr>
          <w:rFonts w:cs="Times New Roman"/>
          <w:b/>
          <w:bCs/>
          <w:color w:val="000000" w:themeColor="text1"/>
          <w:szCs w:val="28"/>
        </w:rPr>
        <w:t xml:space="preserve"> kreds af skattepligtige, der er omfattet af ligningslovens § 2</w:t>
      </w:r>
    </w:p>
    <w:p w14:paraId="08624158" w14:textId="61CB0CEB" w:rsidR="00EA4E3C" w:rsidRPr="00815B3E" w:rsidRDefault="00C860D0" w:rsidP="00673631">
      <w:pPr>
        <w:spacing w:after="240"/>
        <w:rPr>
          <w:rFonts w:cs="Times New Roman"/>
          <w:color w:val="000000" w:themeColor="text1"/>
          <w:szCs w:val="28"/>
        </w:rPr>
      </w:pPr>
      <w:r w:rsidRPr="00815B3E">
        <w:rPr>
          <w:rFonts w:cs="Times New Roman"/>
          <w:noProof/>
          <w:color w:val="000000" w:themeColor="text1"/>
          <w:szCs w:val="28"/>
        </w:rPr>
        <w:lastRenderedPageBreak/>
        <w:drawing>
          <wp:inline distT="0" distB="0" distL="0" distR="0" wp14:anchorId="3DC159AE" wp14:editId="349DF11A">
            <wp:extent cx="4841526" cy="35433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6245" cy="3554072"/>
                    </a:xfrm>
                    <a:prstGeom prst="rect">
                      <a:avLst/>
                    </a:prstGeom>
                    <a:noFill/>
                  </pic:spPr>
                </pic:pic>
              </a:graphicData>
            </a:graphic>
          </wp:inline>
        </w:drawing>
      </w:r>
    </w:p>
    <w:p w14:paraId="58425B4F" w14:textId="00FFF3B4" w:rsidR="00181AEC" w:rsidRPr="00815B3E" w:rsidRDefault="00C860D0" w:rsidP="0020694E">
      <w:pPr>
        <w:spacing w:after="240"/>
        <w:rPr>
          <w:rFonts w:cs="Times New Roman"/>
          <w:color w:val="000000" w:themeColor="text1"/>
          <w:szCs w:val="28"/>
        </w:rPr>
      </w:pPr>
      <w:r w:rsidRPr="00815B3E">
        <w:rPr>
          <w:rFonts w:cs="Times New Roman"/>
          <w:color w:val="000000" w:themeColor="text1"/>
          <w:szCs w:val="28"/>
        </w:rPr>
        <w:t>I figur 3 er oplistet de samme</w:t>
      </w:r>
      <w:r w:rsidR="002A2411" w:rsidRPr="00815B3E">
        <w:rPr>
          <w:rFonts w:cs="Times New Roman"/>
          <w:color w:val="000000" w:themeColor="text1"/>
          <w:szCs w:val="28"/>
        </w:rPr>
        <w:t xml:space="preserve"> to</w:t>
      </w:r>
      <w:r w:rsidRPr="00815B3E">
        <w:rPr>
          <w:rFonts w:cs="Times New Roman"/>
          <w:color w:val="000000" w:themeColor="text1"/>
          <w:szCs w:val="28"/>
        </w:rPr>
        <w:t xml:space="preserve"> koncerner, som i figur 2, men hvor de ultimative aktionærer har en forbindelse som nævnt i ligningslovens § 2, nærmere bestemt ligningslovens § 2, st</w:t>
      </w:r>
      <w:r w:rsidR="003B35A2">
        <w:rPr>
          <w:rFonts w:cs="Times New Roman"/>
          <w:color w:val="000000" w:themeColor="text1"/>
          <w:szCs w:val="28"/>
        </w:rPr>
        <w:t>k</w:t>
      </w:r>
      <w:r w:rsidRPr="00815B3E">
        <w:rPr>
          <w:rFonts w:cs="Times New Roman"/>
          <w:color w:val="000000" w:themeColor="text1"/>
          <w:szCs w:val="28"/>
        </w:rPr>
        <w:t>. 2,</w:t>
      </w:r>
      <w:r w:rsidR="005565E7">
        <w:rPr>
          <w:rFonts w:cs="Times New Roman"/>
          <w:color w:val="000000" w:themeColor="text1"/>
          <w:szCs w:val="28"/>
        </w:rPr>
        <w:t xml:space="preserve"> 4.</w:t>
      </w:r>
      <w:r w:rsidRPr="00815B3E">
        <w:rPr>
          <w:rFonts w:cs="Times New Roman"/>
          <w:color w:val="000000" w:themeColor="text1"/>
          <w:szCs w:val="28"/>
        </w:rPr>
        <w:t xml:space="preserve"> pkt. I dette tilfælde vil ejendom A og ejendom B </w:t>
      </w:r>
      <w:r w:rsidR="002A2411" w:rsidRPr="00815B3E">
        <w:rPr>
          <w:rFonts w:cs="Times New Roman"/>
          <w:color w:val="000000" w:themeColor="text1"/>
          <w:szCs w:val="28"/>
        </w:rPr>
        <w:t xml:space="preserve">begge </w:t>
      </w:r>
      <w:r w:rsidRPr="00815B3E">
        <w:rPr>
          <w:rFonts w:cs="Times New Roman"/>
          <w:color w:val="000000" w:themeColor="text1"/>
          <w:szCs w:val="28"/>
        </w:rPr>
        <w:t xml:space="preserve">være omfattet af lagerbeskatningen. </w:t>
      </w:r>
      <w:r w:rsidR="002A2411" w:rsidRPr="00815B3E">
        <w:rPr>
          <w:rFonts w:cs="Times New Roman"/>
          <w:color w:val="000000" w:themeColor="text1"/>
          <w:szCs w:val="28"/>
        </w:rPr>
        <w:t>Det samme vil gælde, selv</w:t>
      </w:r>
      <w:r w:rsidR="00454F5E">
        <w:rPr>
          <w:rFonts w:cs="Times New Roman"/>
          <w:color w:val="000000" w:themeColor="text1"/>
          <w:szCs w:val="28"/>
        </w:rPr>
        <w:t xml:space="preserve"> </w:t>
      </w:r>
      <w:r w:rsidRPr="00815B3E">
        <w:rPr>
          <w:rFonts w:cs="Times New Roman"/>
          <w:color w:val="000000" w:themeColor="text1"/>
          <w:szCs w:val="28"/>
        </w:rPr>
        <w:t xml:space="preserve">om </w:t>
      </w:r>
      <w:r w:rsidR="002A2411" w:rsidRPr="00815B3E">
        <w:rPr>
          <w:rFonts w:cs="Times New Roman"/>
          <w:color w:val="000000" w:themeColor="text1"/>
          <w:szCs w:val="28"/>
        </w:rPr>
        <w:t xml:space="preserve">det er </w:t>
      </w:r>
      <w:r w:rsidRPr="00815B3E">
        <w:rPr>
          <w:rFonts w:cs="Times New Roman"/>
          <w:color w:val="000000" w:themeColor="text1"/>
          <w:szCs w:val="28"/>
        </w:rPr>
        <w:t>Holding BC</w:t>
      </w:r>
      <w:r w:rsidR="002A2411" w:rsidRPr="00815B3E">
        <w:rPr>
          <w:rFonts w:cs="Times New Roman"/>
          <w:color w:val="000000" w:themeColor="text1"/>
          <w:szCs w:val="28"/>
        </w:rPr>
        <w:t xml:space="preserve"> </w:t>
      </w:r>
      <w:r w:rsidRPr="00815B3E">
        <w:rPr>
          <w:rFonts w:cs="Times New Roman"/>
          <w:color w:val="000000" w:themeColor="text1"/>
          <w:szCs w:val="28"/>
        </w:rPr>
        <w:t>og</w:t>
      </w:r>
      <w:r w:rsidR="002A2411" w:rsidRPr="00815B3E">
        <w:rPr>
          <w:rFonts w:cs="Times New Roman"/>
          <w:color w:val="000000" w:themeColor="text1"/>
          <w:szCs w:val="28"/>
        </w:rPr>
        <w:t xml:space="preserve"> ikke</w:t>
      </w:r>
      <w:r w:rsidRPr="00815B3E">
        <w:rPr>
          <w:rFonts w:cs="Times New Roman"/>
          <w:color w:val="000000" w:themeColor="text1"/>
          <w:szCs w:val="28"/>
        </w:rPr>
        <w:t xml:space="preserve"> Holding AB</w:t>
      </w:r>
      <w:r w:rsidR="002A2411" w:rsidRPr="00815B3E">
        <w:rPr>
          <w:rFonts w:cs="Times New Roman"/>
          <w:color w:val="000000" w:themeColor="text1"/>
          <w:szCs w:val="28"/>
        </w:rPr>
        <w:t>, der</w:t>
      </w:r>
      <w:r w:rsidRPr="00815B3E">
        <w:rPr>
          <w:rFonts w:cs="Times New Roman"/>
          <w:color w:val="000000" w:themeColor="text1"/>
          <w:szCs w:val="28"/>
        </w:rPr>
        <w:t xml:space="preserve"> ejer 49</w:t>
      </w:r>
      <w:r w:rsidR="003B35A2">
        <w:rPr>
          <w:rFonts w:cs="Times New Roman"/>
          <w:color w:val="000000" w:themeColor="text1"/>
          <w:szCs w:val="28"/>
        </w:rPr>
        <w:t xml:space="preserve"> pct</w:t>
      </w:r>
      <w:r w:rsidR="002A2411" w:rsidRPr="00815B3E">
        <w:rPr>
          <w:rFonts w:cs="Times New Roman"/>
          <w:color w:val="000000" w:themeColor="text1"/>
          <w:szCs w:val="28"/>
        </w:rPr>
        <w:t xml:space="preserve"> af selskab B</w:t>
      </w:r>
      <w:r w:rsidRPr="00815B3E">
        <w:rPr>
          <w:rFonts w:cs="Times New Roman"/>
          <w:color w:val="000000" w:themeColor="text1"/>
          <w:szCs w:val="28"/>
        </w:rPr>
        <w:t xml:space="preserve">, da de ultimative ejere er interesseforbundne. </w:t>
      </w:r>
    </w:p>
    <w:p w14:paraId="340E8876" w14:textId="5B62A0AE" w:rsidR="005B4174" w:rsidRPr="00815B3E" w:rsidRDefault="00EF2C10" w:rsidP="0020694E">
      <w:pPr>
        <w:spacing w:after="240"/>
        <w:rPr>
          <w:rFonts w:cs="Times New Roman"/>
          <w:color w:val="000000" w:themeColor="text1"/>
          <w:szCs w:val="28"/>
        </w:rPr>
      </w:pPr>
      <w:r w:rsidRPr="00815B3E">
        <w:rPr>
          <w:rFonts w:cs="Times New Roman"/>
          <w:color w:val="000000" w:themeColor="text1"/>
          <w:szCs w:val="28"/>
        </w:rPr>
        <w:t>Det foreslås i ejendomsavancebeskatningslovens</w:t>
      </w:r>
      <w:r w:rsidR="0020694E" w:rsidRPr="00815B3E">
        <w:rPr>
          <w:rFonts w:cs="Times New Roman"/>
          <w:color w:val="000000" w:themeColor="text1"/>
          <w:szCs w:val="28"/>
        </w:rPr>
        <w:t xml:space="preserve"> </w:t>
      </w:r>
      <w:r w:rsidR="0020694E" w:rsidRPr="00815B3E">
        <w:rPr>
          <w:rFonts w:cs="Times New Roman"/>
          <w:i/>
          <w:iCs/>
          <w:color w:val="000000" w:themeColor="text1"/>
          <w:szCs w:val="28"/>
        </w:rPr>
        <w:t>§ 14, stk. 2</w:t>
      </w:r>
      <w:r w:rsidR="0020694E" w:rsidRPr="00815B3E">
        <w:rPr>
          <w:rFonts w:cs="Times New Roman"/>
          <w:color w:val="000000" w:themeColor="text1"/>
          <w:szCs w:val="28"/>
        </w:rPr>
        <w:t>,</w:t>
      </w:r>
      <w:r w:rsidR="005B4174" w:rsidRPr="00815B3E">
        <w:rPr>
          <w:rFonts w:cs="Times New Roman"/>
          <w:color w:val="000000" w:themeColor="text1"/>
          <w:szCs w:val="28"/>
        </w:rPr>
        <w:t xml:space="preserve"> at </w:t>
      </w:r>
      <w:r w:rsidR="00D329B5">
        <w:rPr>
          <w:rFonts w:cs="Times New Roman"/>
          <w:color w:val="000000" w:themeColor="text1"/>
          <w:szCs w:val="28"/>
        </w:rPr>
        <w:t>fastlægge</w:t>
      </w:r>
      <w:r w:rsidR="003B35A2" w:rsidRPr="00AA527C">
        <w:rPr>
          <w:rFonts w:cs="Times New Roman"/>
          <w:color w:val="000000" w:themeColor="text1"/>
          <w:szCs w:val="28"/>
        </w:rPr>
        <w:t xml:space="preserve">, hvad der </w:t>
      </w:r>
      <w:r w:rsidR="003B35A2">
        <w:rPr>
          <w:rFonts w:cs="Times New Roman"/>
          <w:color w:val="000000" w:themeColor="text1"/>
          <w:szCs w:val="28"/>
        </w:rPr>
        <w:t>i de foreslåede bestemmelser skal</w:t>
      </w:r>
      <w:r w:rsidRPr="00815B3E">
        <w:rPr>
          <w:rFonts w:cs="Times New Roman"/>
          <w:color w:val="000000" w:themeColor="text1"/>
          <w:szCs w:val="28"/>
        </w:rPr>
        <w:t xml:space="preserve"> forstås ved, at en ejendom er udlejet i overvejende omfang. </w:t>
      </w:r>
    </w:p>
    <w:p w14:paraId="2D71DEEC" w14:textId="67E4042C" w:rsidR="0020694E" w:rsidRPr="00815B3E" w:rsidRDefault="00EF2C10" w:rsidP="0020694E">
      <w:pPr>
        <w:spacing w:after="240"/>
        <w:rPr>
          <w:rFonts w:cs="Times New Roman"/>
          <w:color w:val="000000" w:themeColor="text1"/>
          <w:szCs w:val="28"/>
        </w:rPr>
      </w:pPr>
      <w:r w:rsidRPr="00815B3E">
        <w:rPr>
          <w:rFonts w:cs="Times New Roman"/>
          <w:color w:val="000000" w:themeColor="text1"/>
          <w:szCs w:val="28"/>
        </w:rPr>
        <w:t>Det foreslås</w:t>
      </w:r>
      <w:r w:rsidR="005565E7">
        <w:rPr>
          <w:rFonts w:cs="Times New Roman"/>
          <w:color w:val="000000" w:themeColor="text1"/>
          <w:szCs w:val="28"/>
        </w:rPr>
        <w:t xml:space="preserve"> i </w:t>
      </w:r>
      <w:r w:rsidR="005565E7" w:rsidRPr="00255CB9">
        <w:rPr>
          <w:rFonts w:cs="Times New Roman"/>
          <w:i/>
          <w:iCs/>
          <w:color w:val="000000" w:themeColor="text1"/>
          <w:szCs w:val="28"/>
        </w:rPr>
        <w:t>stk. 2</w:t>
      </w:r>
      <w:r w:rsidR="005565E7">
        <w:rPr>
          <w:rFonts w:cs="Times New Roman"/>
          <w:i/>
          <w:iCs/>
          <w:color w:val="000000" w:themeColor="text1"/>
          <w:szCs w:val="28"/>
        </w:rPr>
        <w:t>, 1. pkt.</w:t>
      </w:r>
      <w:r w:rsidR="00AE42F7" w:rsidRPr="00815B3E">
        <w:rPr>
          <w:rFonts w:cs="Times New Roman"/>
          <w:color w:val="000000" w:themeColor="text1"/>
          <w:szCs w:val="28"/>
        </w:rPr>
        <w:t>,</w:t>
      </w:r>
      <w:r w:rsidRPr="00815B3E">
        <w:rPr>
          <w:rFonts w:cs="Times New Roman"/>
          <w:color w:val="000000" w:themeColor="text1"/>
          <w:szCs w:val="28"/>
        </w:rPr>
        <w:t xml:space="preserve"> </w:t>
      </w:r>
      <w:r w:rsidR="0020694E" w:rsidRPr="00815B3E">
        <w:rPr>
          <w:rFonts w:cs="Times New Roman"/>
          <w:color w:val="000000" w:themeColor="text1"/>
          <w:szCs w:val="28"/>
        </w:rPr>
        <w:t xml:space="preserve">at en ejendom anses for udlejet i overvejende omfang, hvis mere end 50 pct. af bygningernes samlede etageareal eller mere end 50 pct. af ejendommens samlede grundareal udlejes. </w:t>
      </w:r>
      <w:r w:rsidR="005565E7">
        <w:rPr>
          <w:rFonts w:cs="Times New Roman"/>
          <w:color w:val="000000" w:themeColor="text1"/>
          <w:szCs w:val="28"/>
        </w:rPr>
        <w:t xml:space="preserve">Det foreslås i </w:t>
      </w:r>
      <w:r w:rsidR="005565E7" w:rsidRPr="00255CB9">
        <w:rPr>
          <w:rFonts w:cs="Times New Roman"/>
          <w:i/>
          <w:iCs/>
          <w:color w:val="000000" w:themeColor="text1"/>
          <w:szCs w:val="28"/>
        </w:rPr>
        <w:t>2. pkt.</w:t>
      </w:r>
      <w:r w:rsidR="005565E7">
        <w:rPr>
          <w:rFonts w:cs="Times New Roman"/>
          <w:color w:val="000000" w:themeColor="text1"/>
          <w:szCs w:val="28"/>
        </w:rPr>
        <w:t>, at e</w:t>
      </w:r>
      <w:r w:rsidR="00BD2597" w:rsidRPr="00BD2597">
        <w:rPr>
          <w:rFonts w:cs="Times New Roman"/>
          <w:color w:val="000000" w:themeColor="text1"/>
          <w:szCs w:val="28"/>
        </w:rPr>
        <w:t>n ejendom anses for udlejet fra det tidspunkt, lejer overtager det lejede</w:t>
      </w:r>
      <w:r w:rsidR="00BD2597">
        <w:rPr>
          <w:rFonts w:cs="Times New Roman"/>
          <w:color w:val="000000" w:themeColor="text1"/>
          <w:szCs w:val="28"/>
        </w:rPr>
        <w:t>.</w:t>
      </w:r>
      <w:r w:rsidR="00BD2597" w:rsidRPr="00BD2597">
        <w:rPr>
          <w:rFonts w:cs="Times New Roman"/>
          <w:color w:val="000000" w:themeColor="text1"/>
          <w:szCs w:val="28"/>
        </w:rPr>
        <w:t xml:space="preserve"> </w:t>
      </w:r>
      <w:r w:rsidRPr="00815B3E">
        <w:rPr>
          <w:rFonts w:cs="Times New Roman"/>
          <w:color w:val="000000" w:themeColor="text1"/>
          <w:szCs w:val="28"/>
        </w:rPr>
        <w:t xml:space="preserve">Det foreslås </w:t>
      </w:r>
      <w:r w:rsidR="00AE42F7" w:rsidRPr="00815B3E">
        <w:rPr>
          <w:rFonts w:cs="Times New Roman"/>
          <w:color w:val="000000" w:themeColor="text1"/>
          <w:szCs w:val="28"/>
        </w:rPr>
        <w:t>som en undtagelse</w:t>
      </w:r>
      <w:r w:rsidR="004A572F">
        <w:rPr>
          <w:rFonts w:cs="Times New Roman"/>
          <w:color w:val="000000" w:themeColor="text1"/>
          <w:szCs w:val="28"/>
        </w:rPr>
        <w:t xml:space="preserve"> </w:t>
      </w:r>
      <w:r w:rsidR="004A572F" w:rsidRPr="00255CB9">
        <w:rPr>
          <w:rFonts w:cs="Times New Roman"/>
          <w:i/>
          <w:iCs/>
          <w:color w:val="000000" w:themeColor="text1"/>
          <w:szCs w:val="28"/>
        </w:rPr>
        <w:t>i 3. pkt</w:t>
      </w:r>
      <w:r w:rsidR="004A572F">
        <w:rPr>
          <w:rFonts w:cs="Times New Roman"/>
          <w:color w:val="000000" w:themeColor="text1"/>
          <w:szCs w:val="28"/>
        </w:rPr>
        <w:t>.</w:t>
      </w:r>
      <w:r w:rsidRPr="00815B3E">
        <w:rPr>
          <w:rFonts w:cs="Times New Roman"/>
          <w:color w:val="000000" w:themeColor="text1"/>
          <w:szCs w:val="28"/>
        </w:rPr>
        <w:t>, at u</w:t>
      </w:r>
      <w:r w:rsidR="0020694E" w:rsidRPr="00815B3E">
        <w:rPr>
          <w:rFonts w:cs="Times New Roman"/>
          <w:color w:val="000000" w:themeColor="text1"/>
          <w:szCs w:val="28"/>
        </w:rPr>
        <w:t xml:space="preserve">dlejning til en lejer, der er sambeskattet med den skattepligtige, jf. selskabsskattelovens § 31 og 31 A, ikke </w:t>
      </w:r>
      <w:r w:rsidRPr="00815B3E">
        <w:rPr>
          <w:rFonts w:cs="Times New Roman"/>
          <w:color w:val="000000" w:themeColor="text1"/>
          <w:szCs w:val="28"/>
        </w:rPr>
        <w:t xml:space="preserve">anses </w:t>
      </w:r>
      <w:r w:rsidR="0020694E" w:rsidRPr="00815B3E">
        <w:rPr>
          <w:rFonts w:cs="Times New Roman"/>
          <w:color w:val="000000" w:themeColor="text1"/>
          <w:szCs w:val="28"/>
        </w:rPr>
        <w:t xml:space="preserve">for udlejning, medmindre ejendommen videreudlejes til en lejer, der ikke er sambeskattet med den skattepligtige. </w:t>
      </w:r>
      <w:r w:rsidRPr="00815B3E">
        <w:rPr>
          <w:rFonts w:cs="Times New Roman"/>
          <w:color w:val="000000" w:themeColor="text1"/>
          <w:szCs w:val="28"/>
        </w:rPr>
        <w:t xml:space="preserve">Det foreslås </w:t>
      </w:r>
      <w:r w:rsidR="00AE42F7" w:rsidRPr="00815B3E">
        <w:rPr>
          <w:rFonts w:cs="Times New Roman"/>
          <w:color w:val="000000" w:themeColor="text1"/>
          <w:szCs w:val="28"/>
        </w:rPr>
        <w:t>som en yderligere undtagelse</w:t>
      </w:r>
      <w:r w:rsidR="004A572F">
        <w:rPr>
          <w:rFonts w:cs="Times New Roman"/>
          <w:color w:val="000000" w:themeColor="text1"/>
          <w:szCs w:val="28"/>
        </w:rPr>
        <w:t xml:space="preserve"> i </w:t>
      </w:r>
      <w:r w:rsidR="004A572F" w:rsidRPr="00255CB9">
        <w:rPr>
          <w:rFonts w:cs="Times New Roman"/>
          <w:i/>
          <w:iCs/>
          <w:color w:val="000000" w:themeColor="text1"/>
          <w:szCs w:val="28"/>
        </w:rPr>
        <w:t>4. pkt</w:t>
      </w:r>
      <w:r w:rsidR="00FA7021">
        <w:rPr>
          <w:rFonts w:cs="Times New Roman"/>
          <w:i/>
          <w:iCs/>
          <w:color w:val="000000" w:themeColor="text1"/>
          <w:szCs w:val="28"/>
        </w:rPr>
        <w:t>.</w:t>
      </w:r>
      <w:r w:rsidR="005E2809">
        <w:rPr>
          <w:rFonts w:cs="Times New Roman"/>
          <w:color w:val="000000" w:themeColor="text1"/>
          <w:szCs w:val="28"/>
        </w:rPr>
        <w:t xml:space="preserve">, </w:t>
      </w:r>
      <w:r w:rsidRPr="00815B3E">
        <w:rPr>
          <w:rFonts w:cs="Times New Roman"/>
          <w:color w:val="000000" w:themeColor="text1"/>
          <w:szCs w:val="28"/>
        </w:rPr>
        <w:t xml:space="preserve">at </w:t>
      </w:r>
      <w:r w:rsidR="005E2809">
        <w:rPr>
          <w:rFonts w:eastAsia="Calibri" w:cs="Times New Roman"/>
          <w:bCs/>
          <w:color w:val="000000" w:themeColor="text1"/>
          <w:szCs w:val="24"/>
        </w:rPr>
        <w:t>udlejning fra foreninger m.v. anses efter denne bestemmelse ikke for udlejning, når lejeindtægten ikke anses som indvundet ved erhvervsmæssig virksomhed efter selskabsskattelovens § 1, stk. 4 eller 5.</w:t>
      </w:r>
    </w:p>
    <w:p w14:paraId="258AF6FE" w14:textId="2BCB95F6" w:rsidR="005B4174" w:rsidRPr="00815B3E" w:rsidRDefault="000D42EF" w:rsidP="0020694E">
      <w:pPr>
        <w:spacing w:after="240"/>
        <w:rPr>
          <w:rFonts w:cs="Times New Roman"/>
          <w:color w:val="000000" w:themeColor="text1"/>
          <w:szCs w:val="28"/>
        </w:rPr>
      </w:pPr>
      <w:r>
        <w:rPr>
          <w:rFonts w:cs="Times New Roman"/>
          <w:color w:val="000000" w:themeColor="text1"/>
          <w:szCs w:val="28"/>
        </w:rPr>
        <w:lastRenderedPageBreak/>
        <w:t xml:space="preserve">Det foreslås i </w:t>
      </w:r>
      <w:r w:rsidR="004A572F" w:rsidRPr="00255CB9">
        <w:rPr>
          <w:rFonts w:cs="Times New Roman"/>
          <w:i/>
          <w:iCs/>
          <w:color w:val="000000" w:themeColor="text1"/>
          <w:szCs w:val="28"/>
        </w:rPr>
        <w:t>1. pkt.</w:t>
      </w:r>
      <w:r>
        <w:rPr>
          <w:rFonts w:cs="Times New Roman"/>
          <w:i/>
          <w:iCs/>
          <w:color w:val="000000" w:themeColor="text1"/>
          <w:szCs w:val="28"/>
        </w:rPr>
        <w:t>,</w:t>
      </w:r>
      <w:r w:rsidR="004A572F">
        <w:rPr>
          <w:rFonts w:cs="Times New Roman"/>
          <w:color w:val="000000" w:themeColor="text1"/>
          <w:szCs w:val="28"/>
        </w:rPr>
        <w:t xml:space="preserve"> </w:t>
      </w:r>
      <w:r>
        <w:rPr>
          <w:rFonts w:cs="Times New Roman"/>
          <w:color w:val="000000" w:themeColor="text1"/>
          <w:szCs w:val="28"/>
        </w:rPr>
        <w:t xml:space="preserve">at en </w:t>
      </w:r>
      <w:r w:rsidR="004A572F" w:rsidRPr="00815B3E">
        <w:rPr>
          <w:rFonts w:cs="Times New Roman"/>
          <w:color w:val="000000" w:themeColor="text1"/>
          <w:szCs w:val="28"/>
        </w:rPr>
        <w:t>ejendom</w:t>
      </w:r>
      <w:r>
        <w:rPr>
          <w:rFonts w:cs="Times New Roman"/>
          <w:color w:val="000000" w:themeColor="text1"/>
          <w:szCs w:val="28"/>
        </w:rPr>
        <w:t xml:space="preserve"> anses</w:t>
      </w:r>
      <w:r w:rsidR="004A572F" w:rsidRPr="00815B3E">
        <w:rPr>
          <w:rFonts w:cs="Times New Roman"/>
          <w:color w:val="000000" w:themeColor="text1"/>
          <w:szCs w:val="28"/>
        </w:rPr>
        <w:t xml:space="preserve"> for udlejet i overvejende omfang</w:t>
      </w:r>
      <w:r w:rsidR="004A572F">
        <w:rPr>
          <w:rFonts w:cs="Times New Roman"/>
          <w:color w:val="000000" w:themeColor="text1"/>
          <w:szCs w:val="28"/>
        </w:rPr>
        <w:t>, h</w:t>
      </w:r>
      <w:r w:rsidR="005B4174" w:rsidRPr="00815B3E">
        <w:rPr>
          <w:rFonts w:cs="Times New Roman"/>
          <w:color w:val="000000" w:themeColor="text1"/>
          <w:szCs w:val="28"/>
        </w:rPr>
        <w:t xml:space="preserve">vis mere end 50 pct. af bygningernes samlede </w:t>
      </w:r>
      <w:r w:rsidR="0020694E" w:rsidRPr="00815B3E">
        <w:rPr>
          <w:rFonts w:cs="Times New Roman"/>
          <w:color w:val="000000" w:themeColor="text1"/>
          <w:szCs w:val="28"/>
        </w:rPr>
        <w:t>etageareal</w:t>
      </w:r>
      <w:r w:rsidR="005B4174" w:rsidRPr="00815B3E">
        <w:rPr>
          <w:rFonts w:cs="Times New Roman"/>
          <w:color w:val="000000" w:themeColor="text1"/>
          <w:szCs w:val="28"/>
        </w:rPr>
        <w:t xml:space="preserve"> eller mere end 50 pct. af d</w:t>
      </w:r>
      <w:r w:rsidR="0020694E" w:rsidRPr="00815B3E">
        <w:rPr>
          <w:rFonts w:cs="Times New Roman"/>
          <w:color w:val="000000" w:themeColor="text1"/>
          <w:szCs w:val="28"/>
        </w:rPr>
        <w:t>et</w:t>
      </w:r>
      <w:r w:rsidR="005B4174" w:rsidRPr="00815B3E">
        <w:rPr>
          <w:rFonts w:cs="Times New Roman"/>
          <w:color w:val="000000" w:themeColor="text1"/>
          <w:szCs w:val="28"/>
        </w:rPr>
        <w:t xml:space="preserve"> samlede</w:t>
      </w:r>
      <w:r w:rsidR="0020694E" w:rsidRPr="00815B3E">
        <w:rPr>
          <w:rFonts w:cs="Times New Roman"/>
          <w:color w:val="000000" w:themeColor="text1"/>
          <w:szCs w:val="28"/>
        </w:rPr>
        <w:t xml:space="preserve"> grundareal</w:t>
      </w:r>
      <w:r w:rsidR="005B4174" w:rsidRPr="00815B3E">
        <w:rPr>
          <w:rFonts w:cs="Times New Roman"/>
          <w:color w:val="000000" w:themeColor="text1"/>
          <w:szCs w:val="28"/>
        </w:rPr>
        <w:t xml:space="preserve"> for ejendom</w:t>
      </w:r>
      <w:r>
        <w:rPr>
          <w:rFonts w:cs="Times New Roman"/>
          <w:color w:val="000000" w:themeColor="text1"/>
          <w:szCs w:val="28"/>
        </w:rPr>
        <w:t>men</w:t>
      </w:r>
      <w:r w:rsidR="005B4174" w:rsidRPr="00815B3E">
        <w:rPr>
          <w:rFonts w:cs="Times New Roman"/>
          <w:color w:val="000000" w:themeColor="text1"/>
          <w:szCs w:val="28"/>
        </w:rPr>
        <w:t xml:space="preserve"> udlejes</w:t>
      </w:r>
      <w:r w:rsidR="004A572F">
        <w:rPr>
          <w:rFonts w:cs="Times New Roman"/>
          <w:color w:val="000000" w:themeColor="text1"/>
          <w:szCs w:val="28"/>
        </w:rPr>
        <w:t>.</w:t>
      </w:r>
      <w:r w:rsidR="005B4174" w:rsidRPr="00815B3E">
        <w:rPr>
          <w:rFonts w:cs="Times New Roman"/>
          <w:color w:val="000000" w:themeColor="text1"/>
          <w:szCs w:val="28"/>
        </w:rPr>
        <w:t xml:space="preserve"> </w:t>
      </w:r>
    </w:p>
    <w:p w14:paraId="1DE4C7B2" w14:textId="61B101C8" w:rsidR="00AE42F7" w:rsidRPr="00815B3E" w:rsidRDefault="00AE42F7" w:rsidP="00813769">
      <w:pPr>
        <w:spacing w:before="240" w:after="240"/>
        <w:rPr>
          <w:rFonts w:cs="Times New Roman"/>
          <w:color w:val="000000" w:themeColor="text1"/>
          <w:szCs w:val="28"/>
        </w:rPr>
      </w:pPr>
      <w:r w:rsidRPr="00815B3E">
        <w:rPr>
          <w:rFonts w:cs="Times New Roman"/>
          <w:color w:val="000000" w:themeColor="text1"/>
          <w:szCs w:val="28"/>
        </w:rPr>
        <w:t>En ejendom, hvor bygningernes etageareal udgør 1</w:t>
      </w:r>
      <w:r w:rsidR="00BB1C0F">
        <w:rPr>
          <w:rFonts w:cs="Times New Roman"/>
          <w:color w:val="000000" w:themeColor="text1"/>
          <w:szCs w:val="28"/>
        </w:rPr>
        <w:t>.</w:t>
      </w:r>
      <w:r w:rsidRPr="00815B3E">
        <w:rPr>
          <w:rFonts w:cs="Times New Roman"/>
          <w:color w:val="000000" w:themeColor="text1"/>
          <w:szCs w:val="28"/>
        </w:rPr>
        <w:t>000</w:t>
      </w:r>
      <w:r w:rsidR="003B35A2">
        <w:rPr>
          <w:rFonts w:cs="Times New Roman"/>
          <w:color w:val="000000" w:themeColor="text1"/>
          <w:szCs w:val="28"/>
          <w:vertAlign w:val="superscript"/>
        </w:rPr>
        <w:t xml:space="preserve"> </w:t>
      </w:r>
      <w:r w:rsidR="003B35A2">
        <w:rPr>
          <w:rFonts w:cs="Times New Roman"/>
          <w:color w:val="000000" w:themeColor="text1"/>
          <w:szCs w:val="28"/>
        </w:rPr>
        <w:t>m</w:t>
      </w:r>
      <w:r w:rsidR="003B35A2">
        <w:rPr>
          <w:rFonts w:cs="Times New Roman"/>
          <w:color w:val="000000" w:themeColor="text1"/>
          <w:szCs w:val="28"/>
          <w:vertAlign w:val="superscript"/>
        </w:rPr>
        <w:t>2</w:t>
      </w:r>
      <w:r w:rsidR="003B35A2">
        <w:rPr>
          <w:rFonts w:cs="Times New Roman"/>
          <w:color w:val="000000" w:themeColor="text1"/>
          <w:szCs w:val="28"/>
        </w:rPr>
        <w:t>,</w:t>
      </w:r>
      <w:r w:rsidRPr="00815B3E">
        <w:rPr>
          <w:rFonts w:cs="Times New Roman"/>
          <w:color w:val="000000" w:themeColor="text1"/>
          <w:szCs w:val="28"/>
        </w:rPr>
        <w:t xml:space="preserve"> og grundarealet udgør 10.000 m</w:t>
      </w:r>
      <w:r w:rsidR="003B35A2">
        <w:rPr>
          <w:rFonts w:cs="Times New Roman"/>
          <w:color w:val="000000" w:themeColor="text1"/>
          <w:szCs w:val="28"/>
          <w:vertAlign w:val="superscript"/>
        </w:rPr>
        <w:t>2</w:t>
      </w:r>
      <w:r w:rsidRPr="00815B3E">
        <w:rPr>
          <w:rFonts w:cs="Times New Roman"/>
          <w:color w:val="000000" w:themeColor="text1"/>
          <w:szCs w:val="28"/>
        </w:rPr>
        <w:t>, anses således for udlejet i overvejende omfang, hvis mere end 500 m</w:t>
      </w:r>
      <w:r w:rsidR="003B35A2">
        <w:rPr>
          <w:rFonts w:cs="Times New Roman"/>
          <w:color w:val="000000" w:themeColor="text1"/>
          <w:szCs w:val="28"/>
          <w:vertAlign w:val="superscript"/>
        </w:rPr>
        <w:t>2</w:t>
      </w:r>
      <w:r w:rsidRPr="00815B3E">
        <w:rPr>
          <w:rFonts w:cs="Times New Roman"/>
          <w:color w:val="000000" w:themeColor="text1"/>
          <w:szCs w:val="28"/>
        </w:rPr>
        <w:t xml:space="preserve"> af bygningernes etageareal udlejes. Det samme gælder, hvis ingen del af bygningerne udlejes, mens 600</w:t>
      </w:r>
      <w:r w:rsidR="006A5105">
        <w:rPr>
          <w:rFonts w:cs="Times New Roman"/>
          <w:color w:val="000000" w:themeColor="text1"/>
          <w:szCs w:val="28"/>
        </w:rPr>
        <w:t>0</w:t>
      </w:r>
      <w:r w:rsidRPr="00815B3E">
        <w:rPr>
          <w:rFonts w:cs="Times New Roman"/>
          <w:color w:val="000000" w:themeColor="text1"/>
          <w:szCs w:val="28"/>
        </w:rPr>
        <w:t xml:space="preserve"> m</w:t>
      </w:r>
      <w:r w:rsidR="003B35A2">
        <w:rPr>
          <w:rFonts w:cs="Times New Roman"/>
          <w:color w:val="000000" w:themeColor="text1"/>
          <w:szCs w:val="28"/>
          <w:vertAlign w:val="superscript"/>
        </w:rPr>
        <w:t>2</w:t>
      </w:r>
      <w:r w:rsidRPr="00815B3E">
        <w:rPr>
          <w:rFonts w:cs="Times New Roman"/>
          <w:color w:val="000000" w:themeColor="text1"/>
          <w:szCs w:val="28"/>
        </w:rPr>
        <w:t xml:space="preserve"> af grunden udlejes.</w:t>
      </w:r>
    </w:p>
    <w:p w14:paraId="4D8BB165" w14:textId="7AD8CBAD" w:rsidR="005E73A1" w:rsidRPr="00815B3E" w:rsidRDefault="0020694E" w:rsidP="0020694E">
      <w:pPr>
        <w:spacing w:after="240"/>
        <w:rPr>
          <w:rFonts w:cs="Times New Roman"/>
          <w:color w:val="000000" w:themeColor="text1"/>
          <w:szCs w:val="28"/>
        </w:rPr>
      </w:pPr>
      <w:r w:rsidRPr="00815B3E">
        <w:rPr>
          <w:rFonts w:cs="Times New Roman"/>
          <w:color w:val="000000" w:themeColor="text1"/>
          <w:szCs w:val="28"/>
        </w:rPr>
        <w:t>Ved vurderingen af</w:t>
      </w:r>
      <w:r w:rsidR="005B4174" w:rsidRPr="00815B3E">
        <w:rPr>
          <w:rFonts w:cs="Times New Roman"/>
          <w:color w:val="000000" w:themeColor="text1"/>
          <w:szCs w:val="28"/>
        </w:rPr>
        <w:t>,</w:t>
      </w:r>
      <w:r w:rsidRPr="00815B3E">
        <w:rPr>
          <w:rFonts w:cs="Times New Roman"/>
          <w:color w:val="000000" w:themeColor="text1"/>
          <w:szCs w:val="28"/>
        </w:rPr>
        <w:t xml:space="preserve"> </w:t>
      </w:r>
      <w:r w:rsidR="005B4174" w:rsidRPr="00815B3E">
        <w:rPr>
          <w:rFonts w:cs="Times New Roman"/>
          <w:color w:val="000000" w:themeColor="text1"/>
          <w:szCs w:val="28"/>
        </w:rPr>
        <w:t>om</w:t>
      </w:r>
      <w:r w:rsidRPr="00815B3E">
        <w:rPr>
          <w:rFonts w:cs="Times New Roman"/>
          <w:color w:val="000000" w:themeColor="text1"/>
          <w:szCs w:val="28"/>
        </w:rPr>
        <w:t xml:space="preserve"> en fast ejendom er udlejet i overvejende omfang</w:t>
      </w:r>
      <w:r w:rsidR="005B4174" w:rsidRPr="00815B3E">
        <w:rPr>
          <w:rFonts w:cs="Times New Roman"/>
          <w:color w:val="000000" w:themeColor="text1"/>
          <w:szCs w:val="28"/>
        </w:rPr>
        <w:t>,</w:t>
      </w:r>
      <w:r w:rsidRPr="00815B3E">
        <w:rPr>
          <w:rFonts w:cs="Times New Roman"/>
          <w:color w:val="000000" w:themeColor="text1"/>
          <w:szCs w:val="28"/>
        </w:rPr>
        <w:t xml:space="preserve"> </w:t>
      </w:r>
      <w:r w:rsidR="005B4174" w:rsidRPr="00815B3E">
        <w:rPr>
          <w:rFonts w:cs="Times New Roman"/>
          <w:color w:val="000000" w:themeColor="text1"/>
          <w:szCs w:val="28"/>
        </w:rPr>
        <w:t xml:space="preserve">vil det være </w:t>
      </w:r>
      <w:r w:rsidRPr="00815B3E">
        <w:rPr>
          <w:rFonts w:cs="Times New Roman"/>
          <w:color w:val="000000" w:themeColor="text1"/>
          <w:szCs w:val="28"/>
        </w:rPr>
        <w:t>nødvendigt at fastlægge</w:t>
      </w:r>
      <w:r w:rsidR="004343AE" w:rsidRPr="00815B3E">
        <w:rPr>
          <w:rFonts w:cs="Times New Roman"/>
          <w:color w:val="000000" w:themeColor="text1"/>
          <w:szCs w:val="28"/>
        </w:rPr>
        <w:t>,</w:t>
      </w:r>
      <w:r w:rsidRPr="00815B3E">
        <w:rPr>
          <w:rFonts w:cs="Times New Roman"/>
          <w:color w:val="000000" w:themeColor="text1"/>
          <w:szCs w:val="28"/>
        </w:rPr>
        <w:t xml:space="preserve"> </w:t>
      </w:r>
      <w:r w:rsidR="005B4174" w:rsidRPr="00815B3E">
        <w:rPr>
          <w:rFonts w:cs="Times New Roman"/>
          <w:color w:val="000000" w:themeColor="text1"/>
          <w:szCs w:val="28"/>
        </w:rPr>
        <w:t xml:space="preserve">om der i det enkelte tilfælde foreligger en eller flere selvstændige ejendomme. </w:t>
      </w:r>
    </w:p>
    <w:p w14:paraId="57588C6F" w14:textId="25B751AB" w:rsidR="005B4174" w:rsidRPr="00815B3E" w:rsidRDefault="005B4174" w:rsidP="0020694E">
      <w:pPr>
        <w:spacing w:after="240"/>
        <w:rPr>
          <w:rFonts w:cs="Times New Roman"/>
          <w:color w:val="000000" w:themeColor="text1"/>
          <w:szCs w:val="28"/>
        </w:rPr>
      </w:pPr>
      <w:r w:rsidRPr="00815B3E">
        <w:rPr>
          <w:rFonts w:cs="Times New Roman"/>
          <w:color w:val="000000" w:themeColor="text1"/>
          <w:szCs w:val="28"/>
        </w:rPr>
        <w:t xml:space="preserve">Det </w:t>
      </w:r>
      <w:r w:rsidR="005A55D8" w:rsidRPr="00815B3E">
        <w:rPr>
          <w:rFonts w:cs="Times New Roman"/>
          <w:color w:val="000000" w:themeColor="text1"/>
          <w:szCs w:val="28"/>
        </w:rPr>
        <w:t>vil</w:t>
      </w:r>
      <w:r w:rsidRPr="00815B3E">
        <w:rPr>
          <w:rFonts w:cs="Times New Roman"/>
          <w:color w:val="000000" w:themeColor="text1"/>
          <w:szCs w:val="28"/>
        </w:rPr>
        <w:t xml:space="preserve"> f.eks.</w:t>
      </w:r>
      <w:r w:rsidR="005A55D8" w:rsidRPr="00815B3E">
        <w:rPr>
          <w:rFonts w:cs="Times New Roman"/>
          <w:color w:val="000000" w:themeColor="text1"/>
          <w:szCs w:val="28"/>
        </w:rPr>
        <w:t xml:space="preserve"> være</w:t>
      </w:r>
      <w:r w:rsidRPr="00815B3E">
        <w:rPr>
          <w:rFonts w:cs="Times New Roman"/>
          <w:color w:val="000000" w:themeColor="text1"/>
          <w:szCs w:val="28"/>
        </w:rPr>
        <w:t xml:space="preserve"> tilfældet</w:t>
      </w:r>
      <w:r w:rsidR="005A55D8" w:rsidRPr="00815B3E">
        <w:rPr>
          <w:rFonts w:cs="Times New Roman"/>
          <w:color w:val="000000" w:themeColor="text1"/>
          <w:szCs w:val="28"/>
        </w:rPr>
        <w:t>, når to lige store bygninger med samme ejer ligger i nærheden af hinanden</w:t>
      </w:r>
      <w:r w:rsidR="00AE42F7" w:rsidRPr="00815B3E">
        <w:rPr>
          <w:rFonts w:cs="Times New Roman"/>
          <w:color w:val="000000" w:themeColor="text1"/>
          <w:szCs w:val="28"/>
        </w:rPr>
        <w:t>, og h</w:t>
      </w:r>
      <w:r w:rsidR="005A55D8" w:rsidRPr="00815B3E">
        <w:rPr>
          <w:rFonts w:cs="Times New Roman"/>
          <w:color w:val="000000" w:themeColor="text1"/>
          <w:szCs w:val="28"/>
        </w:rPr>
        <w:t>ele den ene bygning udlejes, mens</w:t>
      </w:r>
      <w:r w:rsidR="00AE42F7" w:rsidRPr="00815B3E">
        <w:rPr>
          <w:rFonts w:cs="Times New Roman"/>
          <w:color w:val="000000" w:themeColor="text1"/>
          <w:szCs w:val="28"/>
        </w:rPr>
        <w:t xml:space="preserve"> kun</w:t>
      </w:r>
      <w:r w:rsidR="005A55D8" w:rsidRPr="00815B3E">
        <w:rPr>
          <w:rFonts w:cs="Times New Roman"/>
          <w:color w:val="000000" w:themeColor="text1"/>
          <w:szCs w:val="28"/>
        </w:rPr>
        <w:t xml:space="preserve"> 25 pct. af den anden bygning udlejes. Hvis de to bygninger hører til den samme ejendom, så der foreligger en samlet ejendom, så vil</w:t>
      </w:r>
      <w:r w:rsidR="00AE42F7" w:rsidRPr="00815B3E">
        <w:rPr>
          <w:rFonts w:cs="Times New Roman"/>
          <w:color w:val="000000" w:themeColor="text1"/>
          <w:szCs w:val="28"/>
        </w:rPr>
        <w:t xml:space="preserve"> udlejningen omfatte </w:t>
      </w:r>
      <w:r w:rsidR="005E73A1" w:rsidRPr="00815B3E">
        <w:rPr>
          <w:rFonts w:cs="Times New Roman"/>
          <w:color w:val="000000" w:themeColor="text1"/>
          <w:szCs w:val="28"/>
        </w:rPr>
        <w:t xml:space="preserve">mere end 50 pct. af de to bygningers samlede etageareal. Dermed </w:t>
      </w:r>
      <w:r w:rsidR="003B35A2">
        <w:rPr>
          <w:rFonts w:cs="Times New Roman"/>
          <w:color w:val="000000" w:themeColor="text1"/>
          <w:szCs w:val="28"/>
        </w:rPr>
        <w:t xml:space="preserve">vil </w:t>
      </w:r>
      <w:r w:rsidR="005A55D8" w:rsidRPr="00815B3E">
        <w:rPr>
          <w:rFonts w:cs="Times New Roman"/>
          <w:color w:val="000000" w:themeColor="text1"/>
          <w:szCs w:val="28"/>
        </w:rPr>
        <w:t>ejendommen efter forslaget blive anset for udlejet i overvejende omfang.</w:t>
      </w:r>
      <w:r w:rsidR="005E73A1" w:rsidRPr="00815B3E">
        <w:rPr>
          <w:rFonts w:cs="Times New Roman"/>
          <w:color w:val="000000" w:themeColor="text1"/>
          <w:szCs w:val="28"/>
        </w:rPr>
        <w:t xml:space="preserve"> </w:t>
      </w:r>
      <w:r w:rsidR="005A55D8" w:rsidRPr="00815B3E">
        <w:rPr>
          <w:rFonts w:cs="Times New Roman"/>
          <w:color w:val="000000" w:themeColor="text1"/>
          <w:szCs w:val="28"/>
        </w:rPr>
        <w:t xml:space="preserve">Hvis de to bygninger </w:t>
      </w:r>
      <w:r w:rsidR="005E73A1" w:rsidRPr="00815B3E">
        <w:rPr>
          <w:rFonts w:cs="Times New Roman"/>
          <w:color w:val="000000" w:themeColor="text1"/>
          <w:szCs w:val="28"/>
        </w:rPr>
        <w:t xml:space="preserve">derimod </w:t>
      </w:r>
      <w:r w:rsidR="005A55D8" w:rsidRPr="00815B3E">
        <w:rPr>
          <w:rFonts w:cs="Times New Roman"/>
          <w:color w:val="000000" w:themeColor="text1"/>
          <w:szCs w:val="28"/>
        </w:rPr>
        <w:t xml:space="preserve">hører til hver sin ejendom, så </w:t>
      </w:r>
      <w:r w:rsidR="00C67F5D" w:rsidRPr="00815B3E">
        <w:rPr>
          <w:rFonts w:cs="Times New Roman"/>
          <w:color w:val="000000" w:themeColor="text1"/>
          <w:szCs w:val="28"/>
        </w:rPr>
        <w:t xml:space="preserve">der foreligger to selvstændige ejendomme, så </w:t>
      </w:r>
      <w:r w:rsidR="005A55D8" w:rsidRPr="00815B3E">
        <w:rPr>
          <w:rFonts w:cs="Times New Roman"/>
          <w:color w:val="000000" w:themeColor="text1"/>
          <w:szCs w:val="28"/>
        </w:rPr>
        <w:t>vil ejendom</w:t>
      </w:r>
      <w:r w:rsidR="005E73A1" w:rsidRPr="00815B3E">
        <w:rPr>
          <w:rFonts w:cs="Times New Roman"/>
          <w:color w:val="000000" w:themeColor="text1"/>
          <w:szCs w:val="28"/>
        </w:rPr>
        <w:t>men</w:t>
      </w:r>
      <w:r w:rsidR="005A55D8" w:rsidRPr="00815B3E">
        <w:rPr>
          <w:rFonts w:cs="Times New Roman"/>
          <w:color w:val="000000" w:themeColor="text1"/>
          <w:szCs w:val="28"/>
        </w:rPr>
        <w:t xml:space="preserve"> med den første bygning</w:t>
      </w:r>
      <w:r w:rsidR="00C67F5D" w:rsidRPr="00815B3E">
        <w:rPr>
          <w:rFonts w:cs="Times New Roman"/>
          <w:color w:val="000000" w:themeColor="text1"/>
          <w:szCs w:val="28"/>
        </w:rPr>
        <w:t xml:space="preserve"> efter forslaget</w:t>
      </w:r>
      <w:r w:rsidR="005A55D8" w:rsidRPr="00815B3E">
        <w:rPr>
          <w:rFonts w:cs="Times New Roman"/>
          <w:color w:val="000000" w:themeColor="text1"/>
          <w:szCs w:val="28"/>
        </w:rPr>
        <w:t xml:space="preserve"> blive anset for udlejet i overvejende omfang</w:t>
      </w:r>
      <w:r w:rsidR="005E73A1" w:rsidRPr="00815B3E">
        <w:rPr>
          <w:rFonts w:cs="Times New Roman"/>
          <w:color w:val="000000" w:themeColor="text1"/>
          <w:szCs w:val="28"/>
        </w:rPr>
        <w:t xml:space="preserve"> (100 pct.)</w:t>
      </w:r>
      <w:r w:rsidR="005A55D8" w:rsidRPr="00815B3E">
        <w:rPr>
          <w:rFonts w:cs="Times New Roman"/>
          <w:color w:val="000000" w:themeColor="text1"/>
          <w:szCs w:val="28"/>
        </w:rPr>
        <w:t xml:space="preserve">, mens </w:t>
      </w:r>
      <w:r w:rsidR="00C67F5D" w:rsidRPr="00815B3E">
        <w:rPr>
          <w:rFonts w:cs="Times New Roman"/>
          <w:color w:val="000000" w:themeColor="text1"/>
          <w:szCs w:val="28"/>
        </w:rPr>
        <w:t>ejendommen med den anden bygning ikke vil blive anset for udlejet i overvejende omfang</w:t>
      </w:r>
      <w:r w:rsidR="005E73A1" w:rsidRPr="00815B3E">
        <w:rPr>
          <w:rFonts w:cs="Times New Roman"/>
          <w:color w:val="000000" w:themeColor="text1"/>
          <w:szCs w:val="28"/>
        </w:rPr>
        <w:t xml:space="preserve"> (25 pct.)</w:t>
      </w:r>
      <w:r w:rsidR="00C67F5D" w:rsidRPr="00815B3E">
        <w:rPr>
          <w:rFonts w:cs="Times New Roman"/>
          <w:color w:val="000000" w:themeColor="text1"/>
          <w:szCs w:val="28"/>
        </w:rPr>
        <w:t xml:space="preserve">. </w:t>
      </w:r>
    </w:p>
    <w:p w14:paraId="4860C5B9" w14:textId="0BE9921D" w:rsidR="00C67F5D" w:rsidRPr="00815B3E" w:rsidRDefault="0020694E" w:rsidP="0020694E">
      <w:pPr>
        <w:spacing w:after="240"/>
        <w:rPr>
          <w:rFonts w:cs="Times New Roman"/>
          <w:color w:val="000000" w:themeColor="text1"/>
          <w:szCs w:val="28"/>
        </w:rPr>
      </w:pPr>
      <w:r w:rsidRPr="00815B3E">
        <w:rPr>
          <w:rFonts w:cs="Times New Roman"/>
          <w:color w:val="000000" w:themeColor="text1"/>
          <w:szCs w:val="28"/>
        </w:rPr>
        <w:t xml:space="preserve">Det </w:t>
      </w:r>
      <w:r w:rsidR="00C67F5D" w:rsidRPr="00815B3E">
        <w:rPr>
          <w:rFonts w:cs="Times New Roman"/>
          <w:color w:val="000000" w:themeColor="text1"/>
          <w:szCs w:val="28"/>
        </w:rPr>
        <w:t xml:space="preserve">er hensigten, at </w:t>
      </w:r>
      <w:r w:rsidRPr="00815B3E">
        <w:rPr>
          <w:rFonts w:cs="Times New Roman"/>
          <w:color w:val="000000" w:themeColor="text1"/>
          <w:szCs w:val="28"/>
        </w:rPr>
        <w:t xml:space="preserve">begrebet ”fast ejendom” </w:t>
      </w:r>
      <w:r w:rsidR="00C67F5D" w:rsidRPr="00815B3E">
        <w:rPr>
          <w:rFonts w:cs="Times New Roman"/>
          <w:color w:val="000000" w:themeColor="text1"/>
          <w:szCs w:val="28"/>
        </w:rPr>
        <w:t xml:space="preserve">efter lovforslaget skal følge den afgrænsning, der </w:t>
      </w:r>
      <w:r w:rsidRPr="00815B3E">
        <w:rPr>
          <w:rFonts w:cs="Times New Roman"/>
          <w:color w:val="000000" w:themeColor="text1"/>
          <w:szCs w:val="28"/>
        </w:rPr>
        <w:t>følger af ejendomsvurderingslovens § 2</w:t>
      </w:r>
      <w:r w:rsidR="00C67F5D" w:rsidRPr="00815B3E">
        <w:rPr>
          <w:rFonts w:cs="Times New Roman"/>
          <w:color w:val="000000" w:themeColor="text1"/>
          <w:szCs w:val="28"/>
        </w:rPr>
        <w:t xml:space="preserve"> og den praksis, der har udviklet sig efter denne bestemmelse</w:t>
      </w:r>
      <w:r w:rsidRPr="00815B3E">
        <w:rPr>
          <w:rFonts w:cs="Times New Roman"/>
          <w:color w:val="000000" w:themeColor="text1"/>
          <w:szCs w:val="28"/>
        </w:rPr>
        <w:t xml:space="preserve">. </w:t>
      </w:r>
    </w:p>
    <w:p w14:paraId="730C2C5C" w14:textId="1A972287" w:rsidR="0020694E" w:rsidRPr="00815B3E" w:rsidRDefault="0020694E" w:rsidP="0020694E">
      <w:pPr>
        <w:spacing w:after="240"/>
        <w:rPr>
          <w:rFonts w:cs="Times New Roman"/>
          <w:color w:val="000000" w:themeColor="text1"/>
          <w:szCs w:val="28"/>
        </w:rPr>
      </w:pPr>
      <w:r w:rsidRPr="00815B3E">
        <w:rPr>
          <w:rFonts w:cs="Times New Roman"/>
          <w:color w:val="000000" w:themeColor="text1"/>
          <w:szCs w:val="28"/>
        </w:rPr>
        <w:t>Efter ejendomsvurderingslovens § 2</w:t>
      </w:r>
      <w:r w:rsidR="00C67F5D" w:rsidRPr="00815B3E">
        <w:rPr>
          <w:rFonts w:cs="Times New Roman"/>
          <w:color w:val="000000" w:themeColor="text1"/>
          <w:szCs w:val="28"/>
        </w:rPr>
        <w:t>, stk. 1,</w:t>
      </w:r>
      <w:r w:rsidRPr="00815B3E">
        <w:rPr>
          <w:rFonts w:cs="Times New Roman"/>
          <w:color w:val="000000" w:themeColor="text1"/>
          <w:szCs w:val="28"/>
        </w:rPr>
        <w:t xml:space="preserve"> forstås </w:t>
      </w:r>
      <w:r w:rsidR="00C67F5D" w:rsidRPr="00815B3E">
        <w:rPr>
          <w:rFonts w:cs="Times New Roman"/>
          <w:color w:val="000000" w:themeColor="text1"/>
          <w:szCs w:val="28"/>
        </w:rPr>
        <w:t xml:space="preserve">ved </w:t>
      </w:r>
      <w:r w:rsidRPr="00815B3E">
        <w:rPr>
          <w:rFonts w:cs="Times New Roman"/>
          <w:color w:val="000000" w:themeColor="text1"/>
          <w:szCs w:val="28"/>
        </w:rPr>
        <w:t>fast ejendom:</w:t>
      </w:r>
    </w:p>
    <w:p w14:paraId="350EACD3" w14:textId="33144D2A" w:rsidR="0020694E" w:rsidRPr="00815B3E" w:rsidRDefault="0020694E" w:rsidP="0020694E">
      <w:pPr>
        <w:pStyle w:val="Listeafsnit"/>
        <w:numPr>
          <w:ilvl w:val="0"/>
          <w:numId w:val="14"/>
        </w:numPr>
        <w:rPr>
          <w:rFonts w:ascii="Times New Roman" w:hAnsi="Times New Roman" w:cs="Times New Roman"/>
          <w:color w:val="000000" w:themeColor="text1"/>
          <w:sz w:val="24"/>
          <w:szCs w:val="28"/>
        </w:rPr>
      </w:pPr>
      <w:r w:rsidRPr="00815B3E">
        <w:rPr>
          <w:rFonts w:ascii="Times New Roman" w:hAnsi="Times New Roman" w:cs="Times New Roman"/>
          <w:color w:val="000000" w:themeColor="text1"/>
          <w:sz w:val="24"/>
          <w:szCs w:val="28"/>
        </w:rPr>
        <w:t xml:space="preserve">Samlede faste ejendomme, jf. § 2 i lov om udstykning og anden registrering i matriklen, med tilhørende bygninger ejet af </w:t>
      </w:r>
      <w:r w:rsidR="00C67F5D" w:rsidRPr="00815B3E">
        <w:rPr>
          <w:rFonts w:ascii="Times New Roman" w:hAnsi="Times New Roman" w:cs="Times New Roman"/>
          <w:color w:val="000000" w:themeColor="text1"/>
          <w:sz w:val="24"/>
          <w:szCs w:val="28"/>
        </w:rPr>
        <w:t>d</w:t>
      </w:r>
      <w:r w:rsidRPr="00815B3E">
        <w:rPr>
          <w:rFonts w:ascii="Times New Roman" w:hAnsi="Times New Roman" w:cs="Times New Roman"/>
          <w:color w:val="000000" w:themeColor="text1"/>
          <w:sz w:val="24"/>
          <w:szCs w:val="28"/>
        </w:rPr>
        <w:t xml:space="preserve">en samme som den, der ejer grunden, jf. dog </w:t>
      </w:r>
      <w:r w:rsidR="00C67F5D" w:rsidRPr="00815B3E">
        <w:rPr>
          <w:rFonts w:ascii="Times New Roman" w:hAnsi="Times New Roman" w:cs="Times New Roman"/>
          <w:color w:val="000000" w:themeColor="text1"/>
          <w:sz w:val="24"/>
          <w:szCs w:val="28"/>
        </w:rPr>
        <w:t xml:space="preserve">ejendomsvurderingslovens </w:t>
      </w:r>
      <w:r w:rsidRPr="00815B3E">
        <w:rPr>
          <w:rFonts w:ascii="Times New Roman" w:hAnsi="Times New Roman" w:cs="Times New Roman"/>
          <w:color w:val="000000" w:themeColor="text1"/>
          <w:sz w:val="24"/>
          <w:szCs w:val="28"/>
        </w:rPr>
        <w:t>stk. 2.</w:t>
      </w:r>
    </w:p>
    <w:p w14:paraId="0F08E79B" w14:textId="77777777" w:rsidR="0020694E" w:rsidRPr="00815B3E" w:rsidRDefault="0020694E" w:rsidP="0020694E">
      <w:pPr>
        <w:pStyle w:val="Listeafsnit"/>
        <w:numPr>
          <w:ilvl w:val="0"/>
          <w:numId w:val="14"/>
        </w:numPr>
        <w:rPr>
          <w:rFonts w:ascii="Times New Roman" w:hAnsi="Times New Roman" w:cs="Times New Roman"/>
          <w:color w:val="000000" w:themeColor="text1"/>
          <w:sz w:val="24"/>
          <w:szCs w:val="28"/>
        </w:rPr>
      </w:pPr>
      <w:r w:rsidRPr="00815B3E">
        <w:rPr>
          <w:rFonts w:ascii="Times New Roman" w:hAnsi="Times New Roman" w:cs="Times New Roman"/>
          <w:color w:val="000000" w:themeColor="text1"/>
          <w:sz w:val="24"/>
          <w:szCs w:val="28"/>
        </w:rPr>
        <w:t>Ejerlejligheder.</w:t>
      </w:r>
    </w:p>
    <w:p w14:paraId="63A9EDB0" w14:textId="77777777" w:rsidR="0020694E" w:rsidRPr="00815B3E" w:rsidRDefault="0020694E" w:rsidP="0020694E">
      <w:pPr>
        <w:pStyle w:val="Listeafsnit"/>
        <w:numPr>
          <w:ilvl w:val="0"/>
          <w:numId w:val="14"/>
        </w:numPr>
        <w:rPr>
          <w:rFonts w:ascii="Times New Roman" w:hAnsi="Times New Roman" w:cs="Times New Roman"/>
          <w:color w:val="000000" w:themeColor="text1"/>
          <w:sz w:val="24"/>
          <w:szCs w:val="28"/>
        </w:rPr>
      </w:pPr>
      <w:r w:rsidRPr="00815B3E">
        <w:rPr>
          <w:rFonts w:ascii="Times New Roman" w:hAnsi="Times New Roman" w:cs="Times New Roman"/>
          <w:color w:val="000000" w:themeColor="text1"/>
          <w:sz w:val="24"/>
          <w:szCs w:val="28"/>
        </w:rPr>
        <w:t>Bygninger på fremmed grund, hvis grunden er matrikuleret.</w:t>
      </w:r>
    </w:p>
    <w:p w14:paraId="3F09B208" w14:textId="776A3444" w:rsidR="00C67F5D" w:rsidRPr="00815B3E" w:rsidRDefault="0020694E" w:rsidP="0020694E">
      <w:pPr>
        <w:spacing w:after="240"/>
        <w:rPr>
          <w:rFonts w:cs="Times New Roman"/>
          <w:color w:val="000000" w:themeColor="text1"/>
          <w:szCs w:val="28"/>
        </w:rPr>
      </w:pPr>
      <w:r w:rsidRPr="00815B3E">
        <w:rPr>
          <w:rFonts w:cs="Times New Roman"/>
          <w:color w:val="000000" w:themeColor="text1"/>
          <w:szCs w:val="28"/>
        </w:rPr>
        <w:t xml:space="preserve">Det følger </w:t>
      </w:r>
      <w:r w:rsidR="00C67F5D" w:rsidRPr="00815B3E">
        <w:rPr>
          <w:rFonts w:cs="Times New Roman"/>
          <w:color w:val="000000" w:themeColor="text1"/>
          <w:szCs w:val="28"/>
        </w:rPr>
        <w:t xml:space="preserve">dog </w:t>
      </w:r>
      <w:r w:rsidRPr="00815B3E">
        <w:rPr>
          <w:rFonts w:cs="Times New Roman"/>
          <w:color w:val="000000" w:themeColor="text1"/>
          <w:szCs w:val="28"/>
        </w:rPr>
        <w:t xml:space="preserve">af ejendomsvurderingslovens § 2, stk. 2, at fælleslodder, jf. § 2, stk. 2, og § 3 i lov om udstykning og anden registrering i matriklen, anses som selvstændige faste ejendomme. </w:t>
      </w:r>
    </w:p>
    <w:p w14:paraId="0910649D" w14:textId="348F6450" w:rsidR="0020694E" w:rsidRPr="00815B3E" w:rsidRDefault="005565E7" w:rsidP="0020694E">
      <w:pPr>
        <w:spacing w:after="240"/>
        <w:rPr>
          <w:rFonts w:cs="Times New Roman"/>
          <w:color w:val="000000" w:themeColor="text1"/>
          <w:szCs w:val="28"/>
        </w:rPr>
      </w:pPr>
      <w:r>
        <w:rPr>
          <w:rFonts w:cs="Times New Roman"/>
          <w:color w:val="000000" w:themeColor="text1"/>
          <w:szCs w:val="28"/>
        </w:rPr>
        <w:t>Skatteforvaltningen</w:t>
      </w:r>
      <w:r w:rsidR="0020694E" w:rsidRPr="00815B3E">
        <w:rPr>
          <w:rFonts w:cs="Times New Roman"/>
          <w:color w:val="000000" w:themeColor="text1"/>
          <w:szCs w:val="28"/>
        </w:rPr>
        <w:t xml:space="preserve"> kan</w:t>
      </w:r>
      <w:r w:rsidR="00E71918" w:rsidRPr="00815B3E">
        <w:rPr>
          <w:rFonts w:cs="Times New Roman"/>
          <w:color w:val="000000" w:themeColor="text1"/>
          <w:szCs w:val="28"/>
        </w:rPr>
        <w:t xml:space="preserve"> efter ejendomsvurderingslovens § 2, stk. 3,</w:t>
      </w:r>
      <w:r w:rsidR="0020694E" w:rsidRPr="00815B3E">
        <w:rPr>
          <w:rFonts w:cs="Times New Roman"/>
          <w:color w:val="000000" w:themeColor="text1"/>
          <w:szCs w:val="28"/>
        </w:rPr>
        <w:t xml:space="preserve"> som led i vurderingen beslutte, at flere ejendomme, som har samme ejer eller ejere, og som udgør en samlet enhed, skal vurderes samlet. Er der flere ejere, er </w:t>
      </w:r>
      <w:r w:rsidR="0020694E" w:rsidRPr="00815B3E">
        <w:rPr>
          <w:rFonts w:cs="Times New Roman"/>
          <w:color w:val="000000" w:themeColor="text1"/>
          <w:szCs w:val="28"/>
        </w:rPr>
        <w:lastRenderedPageBreak/>
        <w:t>det en betingelse for en samlet vurdering efter 1. pkt., at den enkelte ejendomsejer ejer samme forholdsmæssige andel af hver af de ejendomme, der vurderes samlet.</w:t>
      </w:r>
      <w:r w:rsidR="005E73A1" w:rsidRPr="00815B3E">
        <w:rPr>
          <w:rFonts w:cs="Times New Roman"/>
          <w:color w:val="000000" w:themeColor="text1"/>
          <w:szCs w:val="28"/>
        </w:rPr>
        <w:t xml:space="preserve"> En sådan beslutning om at behandle ejendommen som en samlet enhed vil være retningsgivende for også at betragte ejendommen som en samlet ejendom efter lovforslaget.</w:t>
      </w:r>
    </w:p>
    <w:p w14:paraId="2BF10BA7" w14:textId="06297194" w:rsidR="00E71918" w:rsidRPr="00815B3E" w:rsidRDefault="00E71918" w:rsidP="0020694E">
      <w:pPr>
        <w:spacing w:after="240"/>
        <w:rPr>
          <w:rFonts w:cs="Times New Roman"/>
          <w:color w:val="000000" w:themeColor="text1"/>
          <w:szCs w:val="28"/>
        </w:rPr>
      </w:pPr>
      <w:r w:rsidRPr="00815B3E">
        <w:rPr>
          <w:rFonts w:cs="Times New Roman"/>
          <w:color w:val="000000" w:themeColor="text1"/>
          <w:szCs w:val="28"/>
        </w:rPr>
        <w:t>Når e</w:t>
      </w:r>
      <w:r w:rsidR="007B1550" w:rsidRPr="00815B3E">
        <w:rPr>
          <w:rFonts w:cs="Times New Roman"/>
          <w:color w:val="000000" w:themeColor="text1"/>
          <w:szCs w:val="28"/>
        </w:rPr>
        <w:t>n ejendom er opdelt i ejerlejligheder, anses hver ejerlejlighed for en selvstændig ejendom, jf. ejendomsvurderingslovens § 2, stk. 1, nr. 2.</w:t>
      </w:r>
    </w:p>
    <w:p w14:paraId="0355C303" w14:textId="019587BC" w:rsidR="000276D1" w:rsidRPr="00815B3E" w:rsidRDefault="000276D1" w:rsidP="0020694E">
      <w:pPr>
        <w:spacing w:after="240"/>
        <w:rPr>
          <w:rFonts w:cs="Times New Roman"/>
          <w:color w:val="000000" w:themeColor="text1"/>
          <w:szCs w:val="28"/>
        </w:rPr>
      </w:pPr>
      <w:r w:rsidRPr="00815B3E">
        <w:rPr>
          <w:rFonts w:cs="Times New Roman"/>
          <w:color w:val="000000" w:themeColor="text1"/>
          <w:szCs w:val="28"/>
        </w:rPr>
        <w:t>Efter ejendomsvurderingslovens § 2,</w:t>
      </w:r>
      <w:r w:rsidR="005E73A1" w:rsidRPr="00815B3E">
        <w:rPr>
          <w:rFonts w:cs="Times New Roman"/>
          <w:color w:val="000000" w:themeColor="text1"/>
          <w:szCs w:val="28"/>
        </w:rPr>
        <w:t xml:space="preserve"> stk. 3,</w:t>
      </w:r>
      <w:r w:rsidRPr="00815B3E">
        <w:rPr>
          <w:rFonts w:cs="Times New Roman"/>
          <w:color w:val="000000" w:themeColor="text1"/>
          <w:szCs w:val="28"/>
        </w:rPr>
        <w:t xml:space="preserve"> kan told- og skatteforvaltningen beslutte, at flere ejendomme, som har samme ejer eller ejere, og som udgør en samlet enhed, skal vurderes samlet, såfremt ejerne ejer samme forholdsmæssige andel af hver ejendom. Dette princip kan </w:t>
      </w:r>
      <w:r w:rsidR="00612E0E">
        <w:rPr>
          <w:rFonts w:cs="Times New Roman"/>
          <w:color w:val="000000" w:themeColor="text1"/>
          <w:szCs w:val="28"/>
        </w:rPr>
        <w:t xml:space="preserve">også </w:t>
      </w:r>
      <w:r w:rsidRPr="00815B3E">
        <w:rPr>
          <w:rFonts w:cs="Times New Roman"/>
          <w:color w:val="000000" w:themeColor="text1"/>
          <w:szCs w:val="28"/>
        </w:rPr>
        <w:t xml:space="preserve">følges af </w:t>
      </w:r>
      <w:r w:rsidR="00612E0E">
        <w:rPr>
          <w:rFonts w:cs="Times New Roman"/>
          <w:color w:val="000000" w:themeColor="text1"/>
          <w:szCs w:val="28"/>
        </w:rPr>
        <w:t>Skatteforvaltningen</w:t>
      </w:r>
      <w:r w:rsidRPr="00815B3E">
        <w:rPr>
          <w:rFonts w:cs="Times New Roman"/>
          <w:color w:val="000000" w:themeColor="text1"/>
          <w:szCs w:val="28"/>
        </w:rPr>
        <w:t>, når det skal vurderes om f.eks. en række af ejendomme, der ligger tæt på hinanden, anses for at være én samlet enhed eller flere udlejningsejendomme</w:t>
      </w:r>
      <w:r w:rsidR="004C48F5" w:rsidRPr="00815B3E">
        <w:rPr>
          <w:rFonts w:cs="Times New Roman"/>
          <w:color w:val="000000" w:themeColor="text1"/>
          <w:szCs w:val="28"/>
        </w:rPr>
        <w:t>,</w:t>
      </w:r>
      <w:r w:rsidRPr="00815B3E">
        <w:rPr>
          <w:rFonts w:cs="Times New Roman"/>
          <w:color w:val="000000" w:themeColor="text1"/>
          <w:szCs w:val="28"/>
        </w:rPr>
        <w:t xml:space="preserve"> og derfor skal vurderes separat.</w:t>
      </w:r>
    </w:p>
    <w:p w14:paraId="3E5C3168" w14:textId="66605D67" w:rsidR="0073481D" w:rsidRDefault="000276D1" w:rsidP="00673631">
      <w:pPr>
        <w:spacing w:after="240"/>
        <w:rPr>
          <w:rFonts w:cs="Times New Roman"/>
          <w:color w:val="000000" w:themeColor="text1"/>
          <w:szCs w:val="28"/>
        </w:rPr>
      </w:pPr>
      <w:r w:rsidRPr="00815B3E">
        <w:rPr>
          <w:rFonts w:cs="Times New Roman"/>
          <w:color w:val="000000" w:themeColor="text1"/>
          <w:szCs w:val="28"/>
        </w:rPr>
        <w:t xml:space="preserve">F.eks. vil </w:t>
      </w:r>
      <w:r w:rsidR="00835C92" w:rsidRPr="00815B3E">
        <w:rPr>
          <w:rFonts w:cs="Times New Roman"/>
          <w:color w:val="000000" w:themeColor="text1"/>
          <w:szCs w:val="28"/>
        </w:rPr>
        <w:t>to</w:t>
      </w:r>
      <w:r w:rsidRPr="00815B3E">
        <w:rPr>
          <w:rFonts w:cs="Times New Roman"/>
          <w:color w:val="000000" w:themeColor="text1"/>
          <w:szCs w:val="28"/>
        </w:rPr>
        <w:t xml:space="preserve"> </w:t>
      </w:r>
      <w:r w:rsidR="00193462" w:rsidRPr="00815B3E">
        <w:rPr>
          <w:rFonts w:cs="Times New Roman"/>
          <w:color w:val="000000" w:themeColor="text1"/>
          <w:szCs w:val="28"/>
        </w:rPr>
        <w:t>bygninger</w:t>
      </w:r>
      <w:r w:rsidRPr="00815B3E">
        <w:rPr>
          <w:rFonts w:cs="Times New Roman"/>
          <w:color w:val="000000" w:themeColor="text1"/>
          <w:szCs w:val="28"/>
        </w:rPr>
        <w:t>, der ligger på t</w:t>
      </w:r>
      <w:r w:rsidR="00835C92" w:rsidRPr="00815B3E">
        <w:rPr>
          <w:rFonts w:cs="Times New Roman"/>
          <w:color w:val="000000" w:themeColor="text1"/>
          <w:szCs w:val="28"/>
        </w:rPr>
        <w:t>o</w:t>
      </w:r>
      <w:r w:rsidRPr="00815B3E">
        <w:rPr>
          <w:rFonts w:cs="Times New Roman"/>
          <w:color w:val="000000" w:themeColor="text1"/>
          <w:szCs w:val="28"/>
        </w:rPr>
        <w:t xml:space="preserve"> separat matrikulere</w:t>
      </w:r>
      <w:r w:rsidR="003B35A2">
        <w:rPr>
          <w:rFonts w:cs="Times New Roman"/>
          <w:color w:val="000000" w:themeColor="text1"/>
          <w:szCs w:val="28"/>
        </w:rPr>
        <w:t>de</w:t>
      </w:r>
      <w:r w:rsidRPr="00815B3E">
        <w:rPr>
          <w:rFonts w:cs="Times New Roman"/>
          <w:color w:val="000000" w:themeColor="text1"/>
          <w:szCs w:val="28"/>
        </w:rPr>
        <w:t xml:space="preserve"> grunde, som ligger i forlængelse af hinanden, skulle anses for én </w:t>
      </w:r>
      <w:r w:rsidR="00193462" w:rsidRPr="00815B3E">
        <w:rPr>
          <w:rFonts w:cs="Times New Roman"/>
          <w:color w:val="000000" w:themeColor="text1"/>
          <w:szCs w:val="28"/>
        </w:rPr>
        <w:t>samlet ejendom</w:t>
      </w:r>
      <w:r w:rsidR="00835C92" w:rsidRPr="00815B3E">
        <w:rPr>
          <w:rFonts w:cs="Times New Roman"/>
          <w:color w:val="000000" w:themeColor="text1"/>
          <w:szCs w:val="28"/>
        </w:rPr>
        <w:t>, hvis grunde og bygninger har samme ejer, jf. ejendomsvurderingslovens § 2, stk. 1, nr. 1.</w:t>
      </w:r>
      <w:r w:rsidR="005E73A1" w:rsidRPr="00815B3E">
        <w:rPr>
          <w:rFonts w:cs="Times New Roman"/>
          <w:color w:val="000000" w:themeColor="text1"/>
          <w:szCs w:val="28"/>
        </w:rPr>
        <w:t xml:space="preserve"> </w:t>
      </w:r>
      <w:r w:rsidR="006A0B3B" w:rsidRPr="00815B3E">
        <w:rPr>
          <w:rFonts w:cs="Times New Roman"/>
          <w:color w:val="000000" w:themeColor="text1"/>
          <w:szCs w:val="28"/>
        </w:rPr>
        <w:t xml:space="preserve">Er der derimod flere ejere, der ikke ejer samme forholdsmæssige andel af </w:t>
      </w:r>
      <w:r w:rsidR="00835C92" w:rsidRPr="00815B3E">
        <w:rPr>
          <w:rFonts w:cs="Times New Roman"/>
          <w:color w:val="000000" w:themeColor="text1"/>
          <w:szCs w:val="28"/>
        </w:rPr>
        <w:t>grunde og bygninger</w:t>
      </w:r>
      <w:r w:rsidR="006A0B3B" w:rsidRPr="00815B3E">
        <w:rPr>
          <w:rFonts w:cs="Times New Roman"/>
          <w:color w:val="000000" w:themeColor="text1"/>
          <w:szCs w:val="28"/>
        </w:rPr>
        <w:t xml:space="preserve">, </w:t>
      </w:r>
      <w:r w:rsidR="00835C92" w:rsidRPr="00815B3E">
        <w:rPr>
          <w:rFonts w:cs="Times New Roman"/>
          <w:color w:val="000000" w:themeColor="text1"/>
          <w:szCs w:val="28"/>
        </w:rPr>
        <w:t>vil der foreligge to ejendomme</w:t>
      </w:r>
      <w:r w:rsidR="006A0B3B" w:rsidRPr="00815B3E">
        <w:rPr>
          <w:rFonts w:cs="Times New Roman"/>
          <w:color w:val="000000" w:themeColor="text1"/>
          <w:szCs w:val="28"/>
        </w:rPr>
        <w:t xml:space="preserve">. </w:t>
      </w:r>
    </w:p>
    <w:p w14:paraId="0AD62373" w14:textId="77777777" w:rsidR="0098721C" w:rsidRDefault="00F94699" w:rsidP="00673631">
      <w:pPr>
        <w:spacing w:after="240"/>
        <w:rPr>
          <w:rFonts w:cs="Times New Roman"/>
          <w:color w:val="000000" w:themeColor="text1"/>
          <w:szCs w:val="28"/>
        </w:rPr>
      </w:pPr>
      <w:r w:rsidRPr="00815B3E">
        <w:rPr>
          <w:rFonts w:cs="Times New Roman"/>
          <w:color w:val="000000" w:themeColor="text1"/>
          <w:szCs w:val="28"/>
        </w:rPr>
        <w:t>Det foreslås i ejendomsavancebeskatningslovens § 14, stk. 2,</w:t>
      </w:r>
      <w:r w:rsidRPr="00813769">
        <w:rPr>
          <w:rFonts w:cs="Times New Roman"/>
          <w:i/>
          <w:iCs/>
          <w:color w:val="000000" w:themeColor="text1"/>
          <w:szCs w:val="28"/>
        </w:rPr>
        <w:t xml:space="preserve"> 2.</w:t>
      </w:r>
      <w:r w:rsidR="0098721C" w:rsidRPr="00813769">
        <w:rPr>
          <w:rFonts w:cs="Times New Roman"/>
          <w:i/>
          <w:iCs/>
          <w:color w:val="000000" w:themeColor="text1"/>
          <w:szCs w:val="28"/>
        </w:rPr>
        <w:t xml:space="preserve"> pkt.</w:t>
      </w:r>
      <w:r w:rsidR="0098721C">
        <w:rPr>
          <w:rFonts w:cs="Times New Roman"/>
          <w:color w:val="000000" w:themeColor="text1"/>
          <w:szCs w:val="28"/>
        </w:rPr>
        <w:t>,</w:t>
      </w:r>
      <w:r>
        <w:rPr>
          <w:rFonts w:cs="Times New Roman"/>
          <w:color w:val="000000" w:themeColor="text1"/>
          <w:szCs w:val="28"/>
        </w:rPr>
        <w:t xml:space="preserve"> at indsætte en bestemmelse om, at en ejendom anses for udlejet fra det tidspunkt, hvor lejer overtager det lejede. </w:t>
      </w:r>
    </w:p>
    <w:p w14:paraId="4ACB0DC4" w14:textId="3A30CDBA" w:rsidR="0098721C" w:rsidRPr="00815B3E" w:rsidRDefault="00F94699" w:rsidP="0098721C">
      <w:pPr>
        <w:spacing w:after="240"/>
        <w:rPr>
          <w:rFonts w:cs="Times New Roman"/>
          <w:color w:val="000000" w:themeColor="text1"/>
          <w:szCs w:val="28"/>
        </w:rPr>
      </w:pPr>
      <w:r>
        <w:rPr>
          <w:rFonts w:cs="Times New Roman"/>
          <w:color w:val="000000" w:themeColor="text1"/>
          <w:szCs w:val="28"/>
        </w:rPr>
        <w:t xml:space="preserve">Det vil således ikke være tidspunktet for lejekontraktens indgåelse, men det tidspunkt, hvor lejer rent faktisk overtager lejemålet, som vil være afgørende for, hvornår et lejemål anses for udlejet efter bestemmelsen. </w:t>
      </w:r>
      <w:r w:rsidR="0098721C" w:rsidRPr="00815B3E">
        <w:rPr>
          <w:rFonts w:cs="Times New Roman"/>
          <w:color w:val="000000" w:themeColor="text1"/>
          <w:szCs w:val="28"/>
        </w:rPr>
        <w:t>I almindelighed vil det være den aftalte overtagelsesdato henhold til lejekontrakten, der er afgørende</w:t>
      </w:r>
      <w:r w:rsidR="0098721C">
        <w:rPr>
          <w:rFonts w:cs="Times New Roman"/>
          <w:color w:val="000000" w:themeColor="text1"/>
          <w:szCs w:val="28"/>
        </w:rPr>
        <w:t xml:space="preserve">, men hvis </w:t>
      </w:r>
      <w:r w:rsidR="0098721C" w:rsidRPr="00815B3E">
        <w:rPr>
          <w:rFonts w:cs="Times New Roman"/>
          <w:color w:val="000000" w:themeColor="text1"/>
          <w:szCs w:val="28"/>
        </w:rPr>
        <w:t>den aftalte overtagelsesdato må udskydes, fordi byggeriet er forsinket med den konsekvens, at lejeren først overtage</w:t>
      </w:r>
      <w:r w:rsidR="0098721C">
        <w:rPr>
          <w:rFonts w:cs="Times New Roman"/>
          <w:color w:val="000000" w:themeColor="text1"/>
          <w:szCs w:val="28"/>
        </w:rPr>
        <w:t>r</w:t>
      </w:r>
      <w:r w:rsidR="0098721C" w:rsidRPr="00815B3E">
        <w:rPr>
          <w:rFonts w:cs="Times New Roman"/>
          <w:color w:val="000000" w:themeColor="text1"/>
          <w:szCs w:val="28"/>
        </w:rPr>
        <w:t xml:space="preserve"> lejemålet senere, vil det efter forslaget først være fra dette senere tidspunkt, at ejendommen eller den pågældende andel af ejendommen anses for udlejet.  </w:t>
      </w:r>
    </w:p>
    <w:p w14:paraId="0774321F" w14:textId="7C081279" w:rsidR="0098721C" w:rsidRPr="00815B3E" w:rsidRDefault="00F94699" w:rsidP="00673631">
      <w:pPr>
        <w:spacing w:after="240"/>
        <w:rPr>
          <w:rFonts w:cs="Times New Roman"/>
          <w:color w:val="000000" w:themeColor="text1"/>
          <w:szCs w:val="28"/>
        </w:rPr>
      </w:pPr>
      <w:r>
        <w:rPr>
          <w:rFonts w:cs="Times New Roman"/>
          <w:color w:val="000000" w:themeColor="text1"/>
          <w:szCs w:val="28"/>
        </w:rPr>
        <w:t xml:space="preserve">Det kan f.eks. have betydning ved nybyggeri, </w:t>
      </w:r>
      <w:r w:rsidR="0098721C" w:rsidRPr="00815B3E">
        <w:rPr>
          <w:rFonts w:cs="Times New Roman"/>
          <w:color w:val="000000" w:themeColor="text1"/>
          <w:szCs w:val="28"/>
        </w:rPr>
        <w:t>byggeprojekter og renoveringsopgaver</w:t>
      </w:r>
      <w:r w:rsidR="0098721C">
        <w:rPr>
          <w:rFonts w:cs="Times New Roman"/>
          <w:color w:val="000000" w:themeColor="text1"/>
          <w:szCs w:val="28"/>
        </w:rPr>
        <w:t>, hvor det</w:t>
      </w:r>
      <w:r w:rsidR="0098721C" w:rsidRPr="00815B3E">
        <w:rPr>
          <w:rFonts w:cs="Times New Roman"/>
          <w:color w:val="000000" w:themeColor="text1"/>
          <w:szCs w:val="28"/>
        </w:rPr>
        <w:t xml:space="preserve"> ofte</w:t>
      </w:r>
      <w:r w:rsidR="0098721C">
        <w:rPr>
          <w:rFonts w:cs="Times New Roman"/>
          <w:color w:val="000000" w:themeColor="text1"/>
          <w:szCs w:val="28"/>
        </w:rPr>
        <w:t xml:space="preserve"> forekommer</w:t>
      </w:r>
      <w:r w:rsidR="0098721C" w:rsidRPr="00815B3E">
        <w:rPr>
          <w:rFonts w:cs="Times New Roman"/>
          <w:color w:val="000000" w:themeColor="text1"/>
          <w:szCs w:val="28"/>
        </w:rPr>
        <w:t>, at der indgås aftale om udlejning</w:t>
      </w:r>
      <w:r w:rsidR="0098721C">
        <w:rPr>
          <w:rFonts w:cs="Times New Roman"/>
          <w:color w:val="000000" w:themeColor="text1"/>
          <w:szCs w:val="28"/>
        </w:rPr>
        <w:t>,</w:t>
      </w:r>
      <w:r w:rsidR="0098721C" w:rsidRPr="00815B3E">
        <w:rPr>
          <w:rFonts w:cs="Times New Roman"/>
          <w:color w:val="000000" w:themeColor="text1"/>
          <w:szCs w:val="28"/>
        </w:rPr>
        <w:t xml:space="preserve"> længe før ejendommen står klar til udlejning. </w:t>
      </w:r>
    </w:p>
    <w:p w14:paraId="2826C302" w14:textId="132BA121" w:rsidR="00835C92" w:rsidRPr="00815B3E" w:rsidRDefault="00835C92" w:rsidP="00673631">
      <w:pPr>
        <w:spacing w:after="240"/>
        <w:rPr>
          <w:rFonts w:cs="Times New Roman"/>
          <w:color w:val="000000" w:themeColor="text1"/>
          <w:szCs w:val="28"/>
        </w:rPr>
      </w:pPr>
      <w:r w:rsidRPr="00815B3E">
        <w:rPr>
          <w:rFonts w:cs="Times New Roman"/>
          <w:color w:val="000000" w:themeColor="text1"/>
          <w:szCs w:val="28"/>
        </w:rPr>
        <w:t xml:space="preserve">Det foreslås i ejendomsavancebeskatningslovens </w:t>
      </w:r>
      <w:r w:rsidR="002C290E" w:rsidRPr="00255CB9">
        <w:rPr>
          <w:rFonts w:cs="Times New Roman"/>
          <w:i/>
          <w:iCs/>
          <w:color w:val="000000" w:themeColor="text1"/>
          <w:szCs w:val="28"/>
        </w:rPr>
        <w:t xml:space="preserve">§ 14, stk. 2, </w:t>
      </w:r>
      <w:r w:rsidR="00F94699" w:rsidRPr="00255CB9">
        <w:rPr>
          <w:rFonts w:cs="Times New Roman"/>
          <w:i/>
          <w:iCs/>
          <w:color w:val="000000" w:themeColor="text1"/>
          <w:szCs w:val="28"/>
        </w:rPr>
        <w:t>3</w:t>
      </w:r>
      <w:r w:rsidRPr="00255CB9">
        <w:rPr>
          <w:rFonts w:cs="Times New Roman"/>
          <w:i/>
          <w:iCs/>
          <w:color w:val="000000" w:themeColor="text1"/>
          <w:szCs w:val="28"/>
        </w:rPr>
        <w:t>. pkt</w:t>
      </w:r>
      <w:r w:rsidRPr="00815B3E">
        <w:rPr>
          <w:rFonts w:cs="Times New Roman"/>
          <w:color w:val="000000" w:themeColor="text1"/>
          <w:szCs w:val="28"/>
        </w:rPr>
        <w:t>.</w:t>
      </w:r>
      <w:r w:rsidR="0020694E" w:rsidRPr="00815B3E">
        <w:rPr>
          <w:rFonts w:cs="Times New Roman"/>
          <w:color w:val="000000" w:themeColor="text1"/>
          <w:szCs w:val="28"/>
        </w:rPr>
        <w:t xml:space="preserve">, at </w:t>
      </w:r>
      <w:r w:rsidRPr="00815B3E">
        <w:rPr>
          <w:rFonts w:cs="Times New Roman"/>
          <w:color w:val="000000" w:themeColor="text1"/>
          <w:szCs w:val="28"/>
        </w:rPr>
        <w:t xml:space="preserve">indsætte en bestemmelse om, at </w:t>
      </w:r>
      <w:r w:rsidR="0020694E" w:rsidRPr="00815B3E">
        <w:rPr>
          <w:rFonts w:cs="Times New Roman"/>
          <w:color w:val="000000" w:themeColor="text1"/>
          <w:szCs w:val="28"/>
        </w:rPr>
        <w:t xml:space="preserve">udlejning til en lejer, der er sambeskattet med </w:t>
      </w:r>
      <w:r w:rsidR="0020694E" w:rsidRPr="00815B3E">
        <w:rPr>
          <w:rFonts w:cs="Times New Roman"/>
          <w:color w:val="000000" w:themeColor="text1"/>
          <w:szCs w:val="28"/>
        </w:rPr>
        <w:lastRenderedPageBreak/>
        <w:t xml:space="preserve">den skattepligtige, jf. selskabsskattelovens § 31 og 31 A, ikke anses for udlejning, medmindre ejendommen videreudlejes til en lejer, der ikke er sambeskattet med den skattepligtige. </w:t>
      </w:r>
    </w:p>
    <w:p w14:paraId="69B2344E" w14:textId="0BD13AE5" w:rsidR="003338C9" w:rsidRPr="00815B3E" w:rsidRDefault="00835C92" w:rsidP="00673631">
      <w:pPr>
        <w:spacing w:after="240"/>
        <w:rPr>
          <w:rFonts w:cs="Times New Roman"/>
          <w:color w:val="000000" w:themeColor="text1"/>
          <w:szCs w:val="28"/>
        </w:rPr>
      </w:pPr>
      <w:r w:rsidRPr="00815B3E">
        <w:rPr>
          <w:rFonts w:cs="Times New Roman"/>
          <w:color w:val="000000" w:themeColor="text1"/>
          <w:szCs w:val="28"/>
        </w:rPr>
        <w:t>Formålet er at friholde f</w:t>
      </w:r>
      <w:r w:rsidR="0037583F" w:rsidRPr="00815B3E">
        <w:rPr>
          <w:rFonts w:cs="Times New Roman"/>
          <w:color w:val="000000" w:themeColor="text1"/>
          <w:szCs w:val="28"/>
        </w:rPr>
        <w:t>ra</w:t>
      </w:r>
      <w:r w:rsidRPr="00815B3E">
        <w:rPr>
          <w:rFonts w:cs="Times New Roman"/>
          <w:color w:val="000000" w:themeColor="text1"/>
          <w:szCs w:val="28"/>
        </w:rPr>
        <w:t xml:space="preserve"> den foreslåede lagerbeskatning, </w:t>
      </w:r>
      <w:r w:rsidR="0037583F" w:rsidRPr="00815B3E">
        <w:rPr>
          <w:rFonts w:cs="Times New Roman"/>
          <w:color w:val="000000" w:themeColor="text1"/>
          <w:szCs w:val="28"/>
        </w:rPr>
        <w:t>når en koncern</w:t>
      </w:r>
      <w:r w:rsidRPr="00815B3E">
        <w:rPr>
          <w:rFonts w:cs="Times New Roman"/>
          <w:color w:val="000000" w:themeColor="text1"/>
          <w:szCs w:val="28"/>
        </w:rPr>
        <w:t xml:space="preserve"> er struktureret på en sådan måde, at koncernens ejendomme </w:t>
      </w:r>
      <w:r w:rsidR="007938B3" w:rsidRPr="00815B3E">
        <w:rPr>
          <w:rFonts w:cs="Times New Roman"/>
          <w:color w:val="000000" w:themeColor="text1"/>
          <w:szCs w:val="28"/>
        </w:rPr>
        <w:t xml:space="preserve">f.eks. </w:t>
      </w:r>
      <w:r w:rsidRPr="00815B3E">
        <w:rPr>
          <w:rFonts w:cs="Times New Roman"/>
          <w:color w:val="000000" w:themeColor="text1"/>
          <w:szCs w:val="28"/>
        </w:rPr>
        <w:t>er samlet i et ejendomsselskab, der udlejer ejendommene til de enkelte driftss</w:t>
      </w:r>
      <w:r w:rsidR="003338C9" w:rsidRPr="00815B3E">
        <w:rPr>
          <w:rFonts w:cs="Times New Roman"/>
          <w:color w:val="000000" w:themeColor="text1"/>
          <w:szCs w:val="28"/>
        </w:rPr>
        <w:t>elskaber. Hvis de enkelte driftsselskaber, som ejendommene udlejes til, anvender ejendommene i egen drift, vil de udlejede ejendom</w:t>
      </w:r>
      <w:r w:rsidR="0037583F" w:rsidRPr="00815B3E">
        <w:rPr>
          <w:rFonts w:cs="Times New Roman"/>
          <w:color w:val="000000" w:themeColor="text1"/>
          <w:szCs w:val="28"/>
        </w:rPr>
        <w:t>me</w:t>
      </w:r>
      <w:r w:rsidR="003338C9" w:rsidRPr="00815B3E">
        <w:rPr>
          <w:rFonts w:cs="Times New Roman"/>
          <w:color w:val="000000" w:themeColor="text1"/>
          <w:szCs w:val="28"/>
        </w:rPr>
        <w:t xml:space="preserve"> således efter forslaget ikke blive omfattet af den foreslåede lagerbeskatning.</w:t>
      </w:r>
    </w:p>
    <w:p w14:paraId="2E347284" w14:textId="74CD16BD" w:rsidR="003338C9" w:rsidRPr="00815B3E" w:rsidRDefault="0020694E" w:rsidP="00673631">
      <w:pPr>
        <w:spacing w:after="240"/>
        <w:rPr>
          <w:rFonts w:cs="Times New Roman"/>
          <w:color w:val="000000" w:themeColor="text1"/>
          <w:szCs w:val="28"/>
        </w:rPr>
      </w:pPr>
      <w:r w:rsidRPr="00815B3E">
        <w:rPr>
          <w:rFonts w:cs="Times New Roman"/>
          <w:color w:val="000000" w:themeColor="text1"/>
          <w:szCs w:val="28"/>
        </w:rPr>
        <w:t xml:space="preserve">Hermed </w:t>
      </w:r>
      <w:r w:rsidR="003338C9" w:rsidRPr="00815B3E">
        <w:rPr>
          <w:rFonts w:cs="Times New Roman"/>
          <w:color w:val="000000" w:themeColor="text1"/>
          <w:szCs w:val="28"/>
        </w:rPr>
        <w:t xml:space="preserve">vil </w:t>
      </w:r>
      <w:r w:rsidRPr="00815B3E">
        <w:rPr>
          <w:rFonts w:cs="Times New Roman"/>
          <w:color w:val="000000" w:themeColor="text1"/>
          <w:szCs w:val="28"/>
        </w:rPr>
        <w:t>udlejning af ejendomme</w:t>
      </w:r>
      <w:r w:rsidR="00312960" w:rsidRPr="00815B3E">
        <w:rPr>
          <w:rFonts w:cs="Times New Roman"/>
          <w:color w:val="000000" w:themeColor="text1"/>
          <w:szCs w:val="28"/>
        </w:rPr>
        <w:t xml:space="preserve"> til sambeskattede selskaber</w:t>
      </w:r>
      <w:r w:rsidR="003338C9" w:rsidRPr="00815B3E">
        <w:rPr>
          <w:rFonts w:cs="Times New Roman"/>
          <w:color w:val="000000" w:themeColor="text1"/>
          <w:szCs w:val="28"/>
        </w:rPr>
        <w:t xml:space="preserve"> kunne</w:t>
      </w:r>
      <w:r w:rsidRPr="00815B3E">
        <w:rPr>
          <w:rFonts w:cs="Times New Roman"/>
          <w:color w:val="000000" w:themeColor="text1"/>
          <w:szCs w:val="28"/>
        </w:rPr>
        <w:t xml:space="preserve"> finde sted, uden at ejendommen</w:t>
      </w:r>
      <w:r w:rsidR="0037583F" w:rsidRPr="00815B3E">
        <w:rPr>
          <w:rFonts w:cs="Times New Roman"/>
          <w:color w:val="000000" w:themeColor="text1"/>
          <w:szCs w:val="28"/>
        </w:rPr>
        <w:t>e</w:t>
      </w:r>
      <w:r w:rsidRPr="00815B3E">
        <w:rPr>
          <w:rFonts w:cs="Times New Roman"/>
          <w:color w:val="000000" w:themeColor="text1"/>
          <w:szCs w:val="28"/>
        </w:rPr>
        <w:t xml:space="preserve"> </w:t>
      </w:r>
      <w:r w:rsidR="0037583F" w:rsidRPr="00815B3E">
        <w:rPr>
          <w:rFonts w:cs="Times New Roman"/>
          <w:color w:val="000000" w:themeColor="text1"/>
          <w:szCs w:val="28"/>
        </w:rPr>
        <w:t>omfattes af den foreslåede</w:t>
      </w:r>
      <w:r w:rsidRPr="00815B3E">
        <w:rPr>
          <w:rFonts w:cs="Times New Roman"/>
          <w:color w:val="000000" w:themeColor="text1"/>
          <w:szCs w:val="28"/>
        </w:rPr>
        <w:t xml:space="preserve"> lagerbeskatning</w:t>
      </w:r>
      <w:r w:rsidR="003338C9" w:rsidRPr="00815B3E">
        <w:rPr>
          <w:rFonts w:cs="Times New Roman"/>
          <w:color w:val="000000" w:themeColor="text1"/>
          <w:szCs w:val="28"/>
        </w:rPr>
        <w:t xml:space="preserve">, forudsat at koncernselskabet ikke </w:t>
      </w:r>
      <w:r w:rsidR="0037583F" w:rsidRPr="00815B3E">
        <w:rPr>
          <w:rFonts w:cs="Times New Roman"/>
          <w:color w:val="000000" w:themeColor="text1"/>
          <w:szCs w:val="28"/>
        </w:rPr>
        <w:t>videre</w:t>
      </w:r>
      <w:r w:rsidR="003338C9" w:rsidRPr="00815B3E">
        <w:rPr>
          <w:rFonts w:cs="Times New Roman"/>
          <w:color w:val="000000" w:themeColor="text1"/>
          <w:szCs w:val="28"/>
        </w:rPr>
        <w:t>udlejer ejendommen eksternt i overvejende omfang</w:t>
      </w:r>
      <w:r w:rsidRPr="00815B3E">
        <w:rPr>
          <w:rFonts w:cs="Times New Roman"/>
          <w:color w:val="000000" w:themeColor="text1"/>
          <w:szCs w:val="28"/>
        </w:rPr>
        <w:t>.</w:t>
      </w:r>
      <w:r w:rsidR="00312960" w:rsidRPr="00815B3E">
        <w:rPr>
          <w:rFonts w:cs="Times New Roman"/>
          <w:color w:val="000000" w:themeColor="text1"/>
          <w:szCs w:val="28"/>
        </w:rPr>
        <w:t xml:space="preserve"> </w:t>
      </w:r>
    </w:p>
    <w:p w14:paraId="74A168E5" w14:textId="3BCCB572" w:rsidR="003338C9" w:rsidRPr="00815B3E" w:rsidRDefault="00312960" w:rsidP="00673631">
      <w:pPr>
        <w:spacing w:after="240"/>
        <w:rPr>
          <w:rFonts w:cs="Times New Roman"/>
          <w:color w:val="000000" w:themeColor="text1"/>
          <w:szCs w:val="28"/>
        </w:rPr>
      </w:pPr>
      <w:r w:rsidRPr="00815B3E">
        <w:rPr>
          <w:rFonts w:cs="Times New Roman"/>
          <w:color w:val="000000" w:themeColor="text1"/>
          <w:szCs w:val="28"/>
        </w:rPr>
        <w:t xml:space="preserve">Et eksempel herpå kunne være en koncern, hvor produktionsejendommen ejes af et ejendomsselskab i koncernen, </w:t>
      </w:r>
      <w:r w:rsidR="0037583F" w:rsidRPr="00815B3E">
        <w:rPr>
          <w:rFonts w:cs="Times New Roman"/>
          <w:color w:val="000000" w:themeColor="text1"/>
          <w:szCs w:val="28"/>
        </w:rPr>
        <w:t xml:space="preserve">der udlejer ejendommen til </w:t>
      </w:r>
      <w:r w:rsidRPr="00815B3E">
        <w:rPr>
          <w:rFonts w:cs="Times New Roman"/>
          <w:color w:val="000000" w:themeColor="text1"/>
          <w:szCs w:val="28"/>
        </w:rPr>
        <w:t xml:space="preserve">produktionsselskabet. </w:t>
      </w:r>
      <w:r w:rsidR="002C290E" w:rsidRPr="00815B3E">
        <w:rPr>
          <w:rFonts w:cs="Times New Roman"/>
          <w:color w:val="000000" w:themeColor="text1"/>
          <w:szCs w:val="28"/>
        </w:rPr>
        <w:t xml:space="preserve">Ved </w:t>
      </w:r>
      <w:r w:rsidR="0037583F" w:rsidRPr="00815B3E">
        <w:rPr>
          <w:rFonts w:cs="Times New Roman"/>
          <w:color w:val="000000" w:themeColor="text1"/>
          <w:szCs w:val="28"/>
        </w:rPr>
        <w:t>af</w:t>
      </w:r>
      <w:r w:rsidR="002C290E" w:rsidRPr="00815B3E">
        <w:rPr>
          <w:rFonts w:cs="Times New Roman"/>
          <w:color w:val="000000" w:themeColor="text1"/>
          <w:szCs w:val="28"/>
        </w:rPr>
        <w:t xml:space="preserve">gørelsen af, </w:t>
      </w:r>
      <w:r w:rsidR="0037583F" w:rsidRPr="00815B3E">
        <w:rPr>
          <w:rFonts w:cs="Times New Roman"/>
          <w:color w:val="000000" w:themeColor="text1"/>
          <w:szCs w:val="28"/>
        </w:rPr>
        <w:t>om</w:t>
      </w:r>
      <w:r w:rsidR="002C290E" w:rsidRPr="00815B3E">
        <w:rPr>
          <w:rFonts w:cs="Times New Roman"/>
          <w:color w:val="000000" w:themeColor="text1"/>
          <w:szCs w:val="28"/>
        </w:rPr>
        <w:t xml:space="preserve"> en ejendom udlejes</w:t>
      </w:r>
      <w:r w:rsidR="0037583F" w:rsidRPr="00815B3E">
        <w:rPr>
          <w:rFonts w:cs="Times New Roman"/>
          <w:color w:val="000000" w:themeColor="text1"/>
          <w:szCs w:val="28"/>
        </w:rPr>
        <w:t xml:space="preserve"> i overvejende omfang</w:t>
      </w:r>
      <w:r w:rsidR="002C290E" w:rsidRPr="00815B3E">
        <w:rPr>
          <w:rFonts w:cs="Times New Roman"/>
          <w:color w:val="000000" w:themeColor="text1"/>
          <w:szCs w:val="28"/>
        </w:rPr>
        <w:t>, skal udlejning til en skattepligtig i sambeskatningskredsen dermed ikke tælle med som udlejning</w:t>
      </w:r>
      <w:r w:rsidR="00C94CED" w:rsidRPr="00815B3E">
        <w:rPr>
          <w:rFonts w:cs="Times New Roman"/>
          <w:color w:val="000000" w:themeColor="text1"/>
          <w:szCs w:val="28"/>
        </w:rPr>
        <w:t xml:space="preserve">. </w:t>
      </w:r>
    </w:p>
    <w:p w14:paraId="5C1836ED" w14:textId="08274FA4" w:rsidR="0020694E" w:rsidRPr="00815B3E" w:rsidRDefault="002C290E" w:rsidP="00673631">
      <w:pPr>
        <w:spacing w:after="240"/>
        <w:rPr>
          <w:rFonts w:cs="Times New Roman"/>
          <w:color w:val="000000" w:themeColor="text1"/>
          <w:szCs w:val="28"/>
        </w:rPr>
      </w:pPr>
      <w:r w:rsidRPr="00815B3E">
        <w:rPr>
          <w:rFonts w:cs="Times New Roman"/>
          <w:color w:val="000000" w:themeColor="text1"/>
          <w:szCs w:val="28"/>
        </w:rPr>
        <w:t xml:space="preserve">I tabel 1 er givet </w:t>
      </w:r>
      <w:r w:rsidR="00027B71" w:rsidRPr="00815B3E">
        <w:rPr>
          <w:rFonts w:cs="Times New Roman"/>
          <w:color w:val="000000" w:themeColor="text1"/>
          <w:szCs w:val="28"/>
        </w:rPr>
        <w:t xml:space="preserve">et eksempel på </w:t>
      </w:r>
      <w:r w:rsidRPr="00815B3E">
        <w:rPr>
          <w:rFonts w:cs="Times New Roman"/>
          <w:color w:val="000000" w:themeColor="text1"/>
          <w:szCs w:val="28"/>
        </w:rPr>
        <w:t>to fast</w:t>
      </w:r>
      <w:r w:rsidR="00027B71" w:rsidRPr="00815B3E">
        <w:rPr>
          <w:rFonts w:cs="Times New Roman"/>
          <w:color w:val="000000" w:themeColor="text1"/>
          <w:szCs w:val="28"/>
        </w:rPr>
        <w:t>e</w:t>
      </w:r>
      <w:r w:rsidRPr="00815B3E">
        <w:rPr>
          <w:rFonts w:cs="Times New Roman"/>
          <w:color w:val="000000" w:themeColor="text1"/>
          <w:szCs w:val="28"/>
        </w:rPr>
        <w:t xml:space="preserve"> ejendom</w:t>
      </w:r>
      <w:r w:rsidR="00027B71" w:rsidRPr="00815B3E">
        <w:rPr>
          <w:rFonts w:cs="Times New Roman"/>
          <w:color w:val="000000" w:themeColor="text1"/>
          <w:szCs w:val="28"/>
        </w:rPr>
        <w:t>me, der ejes af et selskab i koncernen. De to ejendomme</w:t>
      </w:r>
      <w:r w:rsidR="007938B3" w:rsidRPr="00815B3E">
        <w:rPr>
          <w:rFonts w:cs="Times New Roman"/>
          <w:color w:val="000000" w:themeColor="text1"/>
          <w:szCs w:val="28"/>
        </w:rPr>
        <w:t xml:space="preserve"> står delvist tomme eller</w:t>
      </w:r>
      <w:r w:rsidR="00027B71" w:rsidRPr="00815B3E">
        <w:rPr>
          <w:rFonts w:cs="Times New Roman"/>
          <w:color w:val="000000" w:themeColor="text1"/>
          <w:szCs w:val="28"/>
        </w:rPr>
        <w:t xml:space="preserve"> anvendes af flere koncernselskaber i egen drift og udlejes endvidere</w:t>
      </w:r>
      <w:r w:rsidRPr="00815B3E">
        <w:rPr>
          <w:rFonts w:cs="Times New Roman"/>
          <w:color w:val="000000" w:themeColor="text1"/>
          <w:szCs w:val="28"/>
        </w:rPr>
        <w:t xml:space="preserve"> til uafhængige parter:</w:t>
      </w:r>
    </w:p>
    <w:p w14:paraId="23A07AA6" w14:textId="0CCA4824" w:rsidR="00C94CED" w:rsidRPr="00815B3E" w:rsidRDefault="00C94CED" w:rsidP="00673631">
      <w:pPr>
        <w:spacing w:after="240"/>
        <w:rPr>
          <w:rFonts w:cs="Times New Roman"/>
          <w:b/>
          <w:bCs/>
          <w:color w:val="000000" w:themeColor="text1"/>
          <w:szCs w:val="28"/>
        </w:rPr>
      </w:pPr>
      <w:r w:rsidRPr="00815B3E">
        <w:rPr>
          <w:rFonts w:cs="Times New Roman"/>
          <w:b/>
          <w:bCs/>
          <w:color w:val="000000" w:themeColor="text1"/>
          <w:szCs w:val="28"/>
        </w:rPr>
        <w:t>Tabel 1 – Koncernintern udlejning</w:t>
      </w:r>
    </w:p>
    <w:tbl>
      <w:tblPr>
        <w:tblStyle w:val="Tabel-Gitter"/>
        <w:tblW w:w="0" w:type="auto"/>
        <w:tblLook w:val="04A0" w:firstRow="1" w:lastRow="0" w:firstColumn="1" w:lastColumn="0" w:noHBand="0" w:noVBand="1"/>
      </w:tblPr>
      <w:tblGrid>
        <w:gridCol w:w="2406"/>
        <w:gridCol w:w="2406"/>
        <w:gridCol w:w="2406"/>
      </w:tblGrid>
      <w:tr w:rsidR="00815B3E" w:rsidRPr="00815B3E" w14:paraId="2AAD0E93" w14:textId="77777777" w:rsidTr="002C290E">
        <w:tc>
          <w:tcPr>
            <w:tcW w:w="2406" w:type="dxa"/>
          </w:tcPr>
          <w:p w14:paraId="636EAA9E" w14:textId="77777777" w:rsidR="002C290E" w:rsidRPr="00815B3E" w:rsidRDefault="002C290E" w:rsidP="00673631">
            <w:pPr>
              <w:spacing w:after="240"/>
              <w:rPr>
                <w:rFonts w:cs="Times New Roman"/>
                <w:color w:val="000000" w:themeColor="text1"/>
                <w:szCs w:val="28"/>
              </w:rPr>
            </w:pPr>
          </w:p>
        </w:tc>
        <w:tc>
          <w:tcPr>
            <w:tcW w:w="2406" w:type="dxa"/>
          </w:tcPr>
          <w:p w14:paraId="27945873" w14:textId="5D188E35" w:rsidR="002C290E" w:rsidRPr="00815B3E" w:rsidRDefault="002C290E" w:rsidP="00673631">
            <w:pPr>
              <w:spacing w:after="240"/>
              <w:rPr>
                <w:rFonts w:cs="Times New Roman"/>
                <w:color w:val="000000" w:themeColor="text1"/>
                <w:szCs w:val="28"/>
              </w:rPr>
            </w:pPr>
            <w:r w:rsidRPr="00815B3E">
              <w:rPr>
                <w:rFonts w:cs="Times New Roman"/>
                <w:color w:val="000000" w:themeColor="text1"/>
                <w:szCs w:val="28"/>
              </w:rPr>
              <w:t>Ejendom A</w:t>
            </w:r>
          </w:p>
        </w:tc>
        <w:tc>
          <w:tcPr>
            <w:tcW w:w="2406" w:type="dxa"/>
          </w:tcPr>
          <w:p w14:paraId="01120095" w14:textId="2A6FA046" w:rsidR="002C290E" w:rsidRPr="00815B3E" w:rsidRDefault="00C94CED" w:rsidP="00673631">
            <w:pPr>
              <w:spacing w:after="240"/>
              <w:rPr>
                <w:rFonts w:cs="Times New Roman"/>
                <w:color w:val="000000" w:themeColor="text1"/>
                <w:szCs w:val="28"/>
              </w:rPr>
            </w:pPr>
            <w:r w:rsidRPr="00815B3E">
              <w:rPr>
                <w:rFonts w:cs="Times New Roman"/>
                <w:color w:val="000000" w:themeColor="text1"/>
                <w:szCs w:val="28"/>
              </w:rPr>
              <w:t>Ejendom B</w:t>
            </w:r>
          </w:p>
        </w:tc>
      </w:tr>
      <w:tr w:rsidR="00815B3E" w:rsidRPr="00815B3E" w14:paraId="662C2CD6" w14:textId="77777777" w:rsidTr="002C290E">
        <w:tc>
          <w:tcPr>
            <w:tcW w:w="2406" w:type="dxa"/>
          </w:tcPr>
          <w:p w14:paraId="4C14EAF4" w14:textId="6726F9AD" w:rsidR="002C290E" w:rsidRPr="00815B3E" w:rsidRDefault="00C94CED" w:rsidP="00673631">
            <w:pPr>
              <w:spacing w:after="240"/>
              <w:rPr>
                <w:rFonts w:cs="Times New Roman"/>
                <w:color w:val="000000" w:themeColor="text1"/>
                <w:szCs w:val="28"/>
              </w:rPr>
            </w:pPr>
            <w:r w:rsidRPr="00815B3E">
              <w:rPr>
                <w:rFonts w:cs="Times New Roman"/>
                <w:color w:val="000000" w:themeColor="text1"/>
                <w:szCs w:val="28"/>
              </w:rPr>
              <w:t xml:space="preserve">Anvendes af </w:t>
            </w:r>
            <w:r w:rsidR="00027B71" w:rsidRPr="00815B3E">
              <w:rPr>
                <w:rFonts w:cs="Times New Roman"/>
                <w:color w:val="000000" w:themeColor="text1"/>
                <w:szCs w:val="28"/>
              </w:rPr>
              <w:t>ejer</w:t>
            </w:r>
            <w:r w:rsidRPr="00815B3E">
              <w:rPr>
                <w:rFonts w:cs="Times New Roman"/>
                <w:color w:val="000000" w:themeColor="text1"/>
                <w:szCs w:val="28"/>
              </w:rPr>
              <w:t>selskabet selv</w:t>
            </w:r>
            <w:r w:rsidR="00AD5B13" w:rsidRPr="00815B3E">
              <w:rPr>
                <w:rFonts w:cs="Times New Roman"/>
                <w:color w:val="000000" w:themeColor="text1"/>
                <w:szCs w:val="28"/>
              </w:rPr>
              <w:t>,</w:t>
            </w:r>
            <w:r w:rsidRPr="00815B3E">
              <w:rPr>
                <w:rFonts w:cs="Times New Roman"/>
                <w:color w:val="000000" w:themeColor="text1"/>
                <w:szCs w:val="28"/>
              </w:rPr>
              <w:t xml:space="preserve"> </w:t>
            </w:r>
            <w:r w:rsidR="00D51857" w:rsidRPr="00815B3E">
              <w:rPr>
                <w:rFonts w:cs="Times New Roman"/>
                <w:color w:val="000000" w:themeColor="text1"/>
                <w:szCs w:val="28"/>
              </w:rPr>
              <w:t>eller lokaler står tomme</w:t>
            </w:r>
          </w:p>
        </w:tc>
        <w:tc>
          <w:tcPr>
            <w:tcW w:w="2406" w:type="dxa"/>
          </w:tcPr>
          <w:p w14:paraId="598677E8" w14:textId="0E6204FB" w:rsidR="002C290E" w:rsidRPr="00815B3E" w:rsidRDefault="00C94CED" w:rsidP="00673631">
            <w:pPr>
              <w:spacing w:after="240"/>
              <w:rPr>
                <w:rFonts w:cs="Times New Roman"/>
                <w:color w:val="000000" w:themeColor="text1"/>
                <w:szCs w:val="28"/>
              </w:rPr>
            </w:pPr>
            <w:r w:rsidRPr="00815B3E">
              <w:rPr>
                <w:rFonts w:cs="Times New Roman"/>
                <w:color w:val="000000" w:themeColor="text1"/>
                <w:szCs w:val="28"/>
              </w:rPr>
              <w:t xml:space="preserve">30 </w:t>
            </w:r>
            <w:r w:rsidR="00A65302">
              <w:rPr>
                <w:rFonts w:cs="Times New Roman"/>
                <w:color w:val="000000" w:themeColor="text1"/>
                <w:szCs w:val="28"/>
              </w:rPr>
              <w:t>pct.</w:t>
            </w:r>
          </w:p>
        </w:tc>
        <w:tc>
          <w:tcPr>
            <w:tcW w:w="2406" w:type="dxa"/>
          </w:tcPr>
          <w:p w14:paraId="16B2D899" w14:textId="6165BA78" w:rsidR="002C290E" w:rsidRPr="00815B3E" w:rsidRDefault="00C94CED" w:rsidP="00673631">
            <w:pPr>
              <w:spacing w:after="240"/>
              <w:rPr>
                <w:rFonts w:cs="Times New Roman"/>
                <w:color w:val="000000" w:themeColor="text1"/>
                <w:szCs w:val="28"/>
              </w:rPr>
            </w:pPr>
            <w:r w:rsidRPr="00815B3E">
              <w:rPr>
                <w:rFonts w:cs="Times New Roman"/>
                <w:color w:val="000000" w:themeColor="text1"/>
                <w:szCs w:val="28"/>
              </w:rPr>
              <w:t xml:space="preserve">30 </w:t>
            </w:r>
            <w:r w:rsidR="00A65302">
              <w:rPr>
                <w:rFonts w:cs="Times New Roman"/>
                <w:color w:val="000000" w:themeColor="text1"/>
                <w:szCs w:val="28"/>
              </w:rPr>
              <w:t>pct.</w:t>
            </w:r>
          </w:p>
        </w:tc>
      </w:tr>
      <w:tr w:rsidR="00815B3E" w:rsidRPr="00815B3E" w14:paraId="2FA7E65C" w14:textId="77777777" w:rsidTr="002C290E">
        <w:tc>
          <w:tcPr>
            <w:tcW w:w="2406" w:type="dxa"/>
          </w:tcPr>
          <w:p w14:paraId="47C103FB" w14:textId="491D266A" w:rsidR="002C290E" w:rsidRPr="00815B3E" w:rsidRDefault="00C94CED" w:rsidP="00673631">
            <w:pPr>
              <w:spacing w:after="240"/>
              <w:rPr>
                <w:rFonts w:cs="Times New Roman"/>
                <w:color w:val="000000" w:themeColor="text1"/>
                <w:szCs w:val="28"/>
              </w:rPr>
            </w:pPr>
            <w:r w:rsidRPr="00815B3E">
              <w:rPr>
                <w:rFonts w:cs="Times New Roman"/>
                <w:color w:val="000000" w:themeColor="text1"/>
                <w:szCs w:val="28"/>
              </w:rPr>
              <w:t xml:space="preserve">Udlejning til sambeskattet selskab, </w:t>
            </w:r>
            <w:r w:rsidR="00027B71" w:rsidRPr="00815B3E">
              <w:rPr>
                <w:rFonts w:cs="Times New Roman"/>
                <w:color w:val="000000" w:themeColor="text1"/>
                <w:szCs w:val="28"/>
              </w:rPr>
              <w:t xml:space="preserve">der selv anvender </w:t>
            </w:r>
            <w:r w:rsidR="00594C46" w:rsidRPr="00815B3E">
              <w:rPr>
                <w:rFonts w:cs="Times New Roman"/>
                <w:color w:val="000000" w:themeColor="text1"/>
                <w:szCs w:val="28"/>
              </w:rPr>
              <w:t>det lejede</w:t>
            </w:r>
            <w:r w:rsidR="00027B71" w:rsidRPr="00815B3E">
              <w:rPr>
                <w:rFonts w:cs="Times New Roman"/>
                <w:color w:val="000000" w:themeColor="text1"/>
                <w:szCs w:val="28"/>
              </w:rPr>
              <w:t xml:space="preserve"> i egen drift</w:t>
            </w:r>
          </w:p>
        </w:tc>
        <w:tc>
          <w:tcPr>
            <w:tcW w:w="2406" w:type="dxa"/>
          </w:tcPr>
          <w:p w14:paraId="52C27FC9" w14:textId="16AF6AA8" w:rsidR="002C290E" w:rsidRPr="00815B3E" w:rsidRDefault="00C94CED" w:rsidP="00673631">
            <w:pPr>
              <w:spacing w:after="240"/>
              <w:rPr>
                <w:rFonts w:cs="Times New Roman"/>
                <w:color w:val="000000" w:themeColor="text1"/>
                <w:szCs w:val="28"/>
              </w:rPr>
            </w:pPr>
            <w:r w:rsidRPr="00815B3E">
              <w:rPr>
                <w:rFonts w:cs="Times New Roman"/>
                <w:color w:val="000000" w:themeColor="text1"/>
                <w:szCs w:val="28"/>
              </w:rPr>
              <w:t xml:space="preserve">30 </w:t>
            </w:r>
            <w:r w:rsidR="00A65302">
              <w:rPr>
                <w:rFonts w:cs="Times New Roman"/>
                <w:color w:val="000000" w:themeColor="text1"/>
                <w:szCs w:val="28"/>
              </w:rPr>
              <w:t>pct.</w:t>
            </w:r>
          </w:p>
        </w:tc>
        <w:tc>
          <w:tcPr>
            <w:tcW w:w="2406" w:type="dxa"/>
          </w:tcPr>
          <w:p w14:paraId="0AAD266D" w14:textId="629B796F" w:rsidR="002C290E" w:rsidRPr="00815B3E" w:rsidRDefault="00C94CED" w:rsidP="00673631">
            <w:pPr>
              <w:spacing w:after="240"/>
              <w:rPr>
                <w:rFonts w:cs="Times New Roman"/>
                <w:color w:val="000000" w:themeColor="text1"/>
                <w:szCs w:val="28"/>
              </w:rPr>
            </w:pPr>
            <w:r w:rsidRPr="00815B3E">
              <w:rPr>
                <w:rFonts w:cs="Times New Roman"/>
                <w:color w:val="000000" w:themeColor="text1"/>
                <w:szCs w:val="28"/>
              </w:rPr>
              <w:t xml:space="preserve">10 </w:t>
            </w:r>
            <w:r w:rsidR="00A65302">
              <w:rPr>
                <w:rFonts w:cs="Times New Roman"/>
                <w:color w:val="000000" w:themeColor="text1"/>
                <w:szCs w:val="28"/>
              </w:rPr>
              <w:t>pct.</w:t>
            </w:r>
          </w:p>
        </w:tc>
      </w:tr>
      <w:tr w:rsidR="00C94CED" w:rsidRPr="00815B3E" w14:paraId="7D02D79F" w14:textId="77777777" w:rsidTr="002C290E">
        <w:tc>
          <w:tcPr>
            <w:tcW w:w="2406" w:type="dxa"/>
          </w:tcPr>
          <w:p w14:paraId="51DA25C1" w14:textId="77DE5C26" w:rsidR="00C94CED" w:rsidRPr="00815B3E" w:rsidRDefault="00C94CED" w:rsidP="00673631">
            <w:pPr>
              <w:spacing w:after="240"/>
              <w:rPr>
                <w:rFonts w:cs="Times New Roman"/>
                <w:color w:val="000000" w:themeColor="text1"/>
                <w:szCs w:val="28"/>
              </w:rPr>
            </w:pPr>
            <w:r w:rsidRPr="00815B3E">
              <w:rPr>
                <w:rFonts w:cs="Times New Roman"/>
                <w:color w:val="000000" w:themeColor="text1"/>
                <w:szCs w:val="28"/>
              </w:rPr>
              <w:t>Udlejning til uafhængig part</w:t>
            </w:r>
          </w:p>
        </w:tc>
        <w:tc>
          <w:tcPr>
            <w:tcW w:w="2406" w:type="dxa"/>
          </w:tcPr>
          <w:p w14:paraId="38E734C8" w14:textId="018E7F54" w:rsidR="00C94CED" w:rsidRPr="00815B3E" w:rsidRDefault="00C94CED" w:rsidP="00673631">
            <w:pPr>
              <w:spacing w:after="240"/>
              <w:rPr>
                <w:rFonts w:cs="Times New Roman"/>
                <w:color w:val="000000" w:themeColor="text1"/>
                <w:szCs w:val="28"/>
              </w:rPr>
            </w:pPr>
            <w:r w:rsidRPr="00815B3E">
              <w:rPr>
                <w:rFonts w:cs="Times New Roman"/>
                <w:color w:val="000000" w:themeColor="text1"/>
                <w:szCs w:val="28"/>
              </w:rPr>
              <w:t xml:space="preserve">40 </w:t>
            </w:r>
            <w:r w:rsidR="00A65302">
              <w:rPr>
                <w:rFonts w:cs="Times New Roman"/>
                <w:color w:val="000000" w:themeColor="text1"/>
                <w:szCs w:val="28"/>
              </w:rPr>
              <w:t>pct.</w:t>
            </w:r>
          </w:p>
        </w:tc>
        <w:tc>
          <w:tcPr>
            <w:tcW w:w="2406" w:type="dxa"/>
          </w:tcPr>
          <w:p w14:paraId="18E0A411" w14:textId="52B7717C" w:rsidR="00C94CED" w:rsidRPr="00815B3E" w:rsidRDefault="00C94CED" w:rsidP="00673631">
            <w:pPr>
              <w:spacing w:after="240"/>
              <w:rPr>
                <w:rFonts w:cs="Times New Roman"/>
                <w:color w:val="000000" w:themeColor="text1"/>
                <w:szCs w:val="28"/>
              </w:rPr>
            </w:pPr>
            <w:r w:rsidRPr="00815B3E">
              <w:rPr>
                <w:rFonts w:cs="Times New Roman"/>
                <w:color w:val="000000" w:themeColor="text1"/>
                <w:szCs w:val="28"/>
              </w:rPr>
              <w:t xml:space="preserve">60 </w:t>
            </w:r>
            <w:r w:rsidR="00A65302">
              <w:rPr>
                <w:rFonts w:cs="Times New Roman"/>
                <w:color w:val="000000" w:themeColor="text1"/>
                <w:szCs w:val="28"/>
              </w:rPr>
              <w:t>pct.</w:t>
            </w:r>
          </w:p>
        </w:tc>
      </w:tr>
    </w:tbl>
    <w:p w14:paraId="544398D2" w14:textId="77777777" w:rsidR="00C94CED" w:rsidRPr="00815B3E" w:rsidRDefault="00C94CED" w:rsidP="00673631">
      <w:pPr>
        <w:spacing w:after="240"/>
        <w:rPr>
          <w:rFonts w:cs="Times New Roman"/>
          <w:color w:val="000000" w:themeColor="text1"/>
          <w:szCs w:val="28"/>
        </w:rPr>
      </w:pPr>
    </w:p>
    <w:p w14:paraId="0F7DD223" w14:textId="3DABD886" w:rsidR="00F94699" w:rsidRDefault="00027B71" w:rsidP="00673631">
      <w:pPr>
        <w:spacing w:after="240"/>
        <w:rPr>
          <w:rFonts w:cs="Times New Roman"/>
          <w:color w:val="000000" w:themeColor="text1"/>
          <w:szCs w:val="28"/>
        </w:rPr>
      </w:pPr>
      <w:r w:rsidRPr="00815B3E">
        <w:rPr>
          <w:rFonts w:cs="Times New Roman"/>
          <w:color w:val="000000" w:themeColor="text1"/>
          <w:szCs w:val="28"/>
        </w:rPr>
        <w:lastRenderedPageBreak/>
        <w:t>E</w:t>
      </w:r>
      <w:r w:rsidR="00C94CED" w:rsidRPr="00815B3E">
        <w:rPr>
          <w:rFonts w:cs="Times New Roman"/>
          <w:color w:val="000000" w:themeColor="text1"/>
          <w:szCs w:val="28"/>
        </w:rPr>
        <w:t>jendom A</w:t>
      </w:r>
      <w:r w:rsidRPr="00815B3E">
        <w:rPr>
          <w:rFonts w:cs="Times New Roman"/>
          <w:color w:val="000000" w:themeColor="text1"/>
          <w:szCs w:val="28"/>
        </w:rPr>
        <w:t xml:space="preserve"> vil</w:t>
      </w:r>
      <w:r w:rsidR="00C94CED" w:rsidRPr="00815B3E">
        <w:rPr>
          <w:rFonts w:cs="Times New Roman"/>
          <w:color w:val="000000" w:themeColor="text1"/>
          <w:szCs w:val="28"/>
        </w:rPr>
        <w:t xml:space="preserve"> ikke</w:t>
      </w:r>
      <w:r w:rsidRPr="00815B3E">
        <w:rPr>
          <w:rFonts w:cs="Times New Roman"/>
          <w:color w:val="000000" w:themeColor="text1"/>
          <w:szCs w:val="28"/>
        </w:rPr>
        <w:t xml:space="preserve"> skulle</w:t>
      </w:r>
      <w:r w:rsidR="00C94CED" w:rsidRPr="00815B3E">
        <w:rPr>
          <w:rFonts w:cs="Times New Roman"/>
          <w:color w:val="000000" w:themeColor="text1"/>
          <w:szCs w:val="28"/>
        </w:rPr>
        <w:t xml:space="preserve"> lagerbeskattes efter de foreslåede regler</w:t>
      </w:r>
      <w:r w:rsidRPr="00815B3E">
        <w:rPr>
          <w:rFonts w:cs="Times New Roman"/>
          <w:color w:val="000000" w:themeColor="text1"/>
          <w:szCs w:val="28"/>
        </w:rPr>
        <w:t>, idet alene 40 pct. af ejendommen udlejes eksternt</w:t>
      </w:r>
      <w:r w:rsidR="00594C46" w:rsidRPr="00815B3E">
        <w:rPr>
          <w:rFonts w:cs="Times New Roman"/>
          <w:color w:val="000000" w:themeColor="text1"/>
          <w:szCs w:val="28"/>
        </w:rPr>
        <w:t>, mens den øvrige del af ejendommen anvendes i koncernens egen drift eller står tom</w:t>
      </w:r>
      <w:r w:rsidRPr="00815B3E">
        <w:rPr>
          <w:rFonts w:cs="Times New Roman"/>
          <w:color w:val="000000" w:themeColor="text1"/>
          <w:szCs w:val="28"/>
        </w:rPr>
        <w:t xml:space="preserve">. </w:t>
      </w:r>
      <w:r w:rsidR="00E074F4" w:rsidRPr="00815B3E">
        <w:rPr>
          <w:rFonts w:cs="Times New Roman"/>
          <w:color w:val="000000" w:themeColor="text1"/>
          <w:szCs w:val="28"/>
        </w:rPr>
        <w:t>E</w:t>
      </w:r>
      <w:r w:rsidR="00C94CED" w:rsidRPr="00815B3E">
        <w:rPr>
          <w:rFonts w:cs="Times New Roman"/>
          <w:color w:val="000000" w:themeColor="text1"/>
          <w:szCs w:val="28"/>
        </w:rPr>
        <w:t xml:space="preserve">jendom B </w:t>
      </w:r>
      <w:r w:rsidR="00E074F4" w:rsidRPr="00815B3E">
        <w:rPr>
          <w:rFonts w:cs="Times New Roman"/>
          <w:color w:val="000000" w:themeColor="text1"/>
          <w:szCs w:val="28"/>
        </w:rPr>
        <w:t>vil derimod blive omfattet af den foreslåede lagerbeskatning, da 60 pct. af ejendommen udlejes til parter uden for sambeskatningskredsen</w:t>
      </w:r>
      <w:r w:rsidR="00C94CED" w:rsidRPr="00815B3E">
        <w:rPr>
          <w:rFonts w:cs="Times New Roman"/>
          <w:color w:val="000000" w:themeColor="text1"/>
          <w:szCs w:val="28"/>
        </w:rPr>
        <w:t>.</w:t>
      </w:r>
    </w:p>
    <w:p w14:paraId="049E6CD1" w14:textId="1B96261D" w:rsidR="00F94699" w:rsidRDefault="00F94699" w:rsidP="00673631">
      <w:pPr>
        <w:spacing w:after="240"/>
        <w:rPr>
          <w:rFonts w:cs="Times New Roman"/>
          <w:color w:val="000000" w:themeColor="text1"/>
          <w:szCs w:val="28"/>
        </w:rPr>
      </w:pPr>
      <w:r>
        <w:rPr>
          <w:rFonts w:cs="Times New Roman"/>
          <w:color w:val="000000" w:themeColor="text1"/>
          <w:szCs w:val="28"/>
        </w:rPr>
        <w:t>Det foreslås i ejendomsavancebeskatningslovens</w:t>
      </w:r>
      <w:r w:rsidRPr="00F94699">
        <w:rPr>
          <w:rFonts w:cs="Times New Roman"/>
          <w:i/>
          <w:iCs/>
          <w:color w:val="000000" w:themeColor="text1"/>
          <w:szCs w:val="28"/>
        </w:rPr>
        <w:t xml:space="preserve"> § 14, stk. 2, 4. pkt.</w:t>
      </w:r>
      <w:r>
        <w:rPr>
          <w:rFonts w:cs="Times New Roman"/>
          <w:color w:val="000000" w:themeColor="text1"/>
          <w:szCs w:val="28"/>
        </w:rPr>
        <w:t>, at indsætte en bestemmelse om, at udlejning fra foreninger</w:t>
      </w:r>
      <w:r w:rsidR="00B755D9">
        <w:rPr>
          <w:rFonts w:cs="Times New Roman"/>
          <w:color w:val="000000" w:themeColor="text1"/>
          <w:szCs w:val="28"/>
        </w:rPr>
        <w:t xml:space="preserve"> m.v.</w:t>
      </w:r>
      <w:r>
        <w:rPr>
          <w:rFonts w:cs="Times New Roman"/>
          <w:color w:val="000000" w:themeColor="text1"/>
          <w:szCs w:val="28"/>
        </w:rPr>
        <w:t xml:space="preserve"> ikke anses for udlejning, når lejeindtægten ikke anses for indtægt ved erhvervsmæssig virksomhed efter selskabsskattelovens § 1, stk. 4 eller 5.</w:t>
      </w:r>
    </w:p>
    <w:p w14:paraId="18BC7B4B" w14:textId="3C89E26F" w:rsidR="00F94699" w:rsidRDefault="00F94699" w:rsidP="00673631">
      <w:pPr>
        <w:spacing w:after="240"/>
        <w:rPr>
          <w:rFonts w:cs="Times New Roman"/>
          <w:color w:val="000000" w:themeColor="text1"/>
          <w:szCs w:val="28"/>
        </w:rPr>
      </w:pPr>
      <w:r>
        <w:rPr>
          <w:rFonts w:cs="Times New Roman"/>
          <w:color w:val="000000" w:themeColor="text1"/>
          <w:szCs w:val="28"/>
        </w:rPr>
        <w:t>Det indebærer, at i de tilfælde, hvor den forening, der ejer ejendommen, efter de gældende regler i selskabsskatteloven ikke skal medregne</w:t>
      </w:r>
      <w:r w:rsidR="00FF0FD0">
        <w:rPr>
          <w:rFonts w:cs="Times New Roman"/>
          <w:color w:val="000000" w:themeColor="text1"/>
          <w:szCs w:val="28"/>
        </w:rPr>
        <w:t xml:space="preserve"> ejendommens</w:t>
      </w:r>
      <w:r>
        <w:rPr>
          <w:rFonts w:cs="Times New Roman"/>
          <w:color w:val="000000" w:themeColor="text1"/>
          <w:szCs w:val="28"/>
        </w:rPr>
        <w:t xml:space="preserve"> lejeindtægter til den skattepligtige indkomst</w:t>
      </w:r>
      <w:r w:rsidR="00B755D9">
        <w:rPr>
          <w:rFonts w:cs="Times New Roman"/>
          <w:color w:val="000000" w:themeColor="text1"/>
          <w:szCs w:val="28"/>
        </w:rPr>
        <w:t xml:space="preserve"> som følge af, at indtægterne ikke anses for erhvervsmæssig indkomst, så skal den pågældende ejendom efter forslaget ikke anses for udlejet efter bestemmelsen. Værdien af denne ejendom vil således ikke skulle medregnes ved opgørelsen af værdien af ejendomsporteføljen på 100 mio. kr., ligesom ejendommen ikke vil være omfattet af den foreslåede lagerbeskatning. </w:t>
      </w:r>
    </w:p>
    <w:p w14:paraId="7CA27AF1" w14:textId="23399518" w:rsidR="00F94699" w:rsidRDefault="00B755D9" w:rsidP="00673631">
      <w:pPr>
        <w:spacing w:after="240"/>
        <w:rPr>
          <w:rFonts w:cs="Times New Roman"/>
          <w:color w:val="000000" w:themeColor="text1"/>
          <w:szCs w:val="28"/>
        </w:rPr>
      </w:pPr>
      <w:r>
        <w:rPr>
          <w:rFonts w:cs="Times New Roman"/>
          <w:color w:val="000000" w:themeColor="text1"/>
          <w:szCs w:val="28"/>
        </w:rPr>
        <w:t>De foreninger</w:t>
      </w:r>
      <w:r w:rsidR="00A8109A">
        <w:rPr>
          <w:rFonts w:cs="Times New Roman"/>
          <w:color w:val="000000" w:themeColor="text1"/>
          <w:szCs w:val="28"/>
        </w:rPr>
        <w:t xml:space="preserve"> m.v.</w:t>
      </w:r>
      <w:r>
        <w:rPr>
          <w:rFonts w:cs="Times New Roman"/>
          <w:color w:val="000000" w:themeColor="text1"/>
          <w:szCs w:val="28"/>
        </w:rPr>
        <w:t>, der omfattes af selskabsskattelovens § 1, stk. 4</w:t>
      </w:r>
      <w:r w:rsidR="00A8109A">
        <w:rPr>
          <w:rFonts w:cs="Times New Roman"/>
          <w:color w:val="000000" w:themeColor="text1"/>
          <w:szCs w:val="28"/>
        </w:rPr>
        <w:t xml:space="preserve"> og 5</w:t>
      </w:r>
      <w:r>
        <w:rPr>
          <w:rFonts w:cs="Times New Roman"/>
          <w:color w:val="000000" w:themeColor="text1"/>
          <w:szCs w:val="28"/>
        </w:rPr>
        <w:t>, er navnlig foreninger</w:t>
      </w:r>
      <w:r w:rsidR="00A8109A">
        <w:rPr>
          <w:rFonts w:cs="Times New Roman"/>
          <w:color w:val="000000" w:themeColor="text1"/>
          <w:szCs w:val="28"/>
        </w:rPr>
        <w:t xml:space="preserve"> m.v.,</w:t>
      </w:r>
      <w:r>
        <w:rPr>
          <w:rFonts w:cs="Times New Roman"/>
          <w:color w:val="000000" w:themeColor="text1"/>
          <w:szCs w:val="28"/>
        </w:rPr>
        <w:t xml:space="preserve"> omfattet af selskabsskattelovens § 1, stk. 1, nr. 6</w:t>
      </w:r>
      <w:r w:rsidR="00A8109A">
        <w:rPr>
          <w:rFonts w:cs="Times New Roman"/>
          <w:color w:val="000000" w:themeColor="text1"/>
          <w:szCs w:val="28"/>
        </w:rPr>
        <w:t>, dvs. foreninger</w:t>
      </w:r>
      <w:r w:rsidR="00612E0E">
        <w:rPr>
          <w:rFonts w:cs="Times New Roman"/>
          <w:color w:val="000000" w:themeColor="text1"/>
          <w:szCs w:val="28"/>
        </w:rPr>
        <w:t>,</w:t>
      </w:r>
      <w:r w:rsidR="00A8109A">
        <w:rPr>
          <w:rFonts w:cs="Times New Roman"/>
          <w:color w:val="000000" w:themeColor="text1"/>
          <w:szCs w:val="28"/>
        </w:rPr>
        <w:t xml:space="preserve"> korporationer, stiftelser, legater og selvejende institutioner, der hverken omfattes af andre bestemmelser i selskabsskattelovens § 1, stk. 1, eller af fondsbeskatningsloven. </w:t>
      </w:r>
    </w:p>
    <w:p w14:paraId="50A7B69F" w14:textId="3D810D26" w:rsidR="00A8109A" w:rsidRDefault="00A8109A" w:rsidP="00673631">
      <w:pPr>
        <w:spacing w:after="240"/>
        <w:rPr>
          <w:rFonts w:cs="Times New Roman"/>
          <w:color w:val="000000" w:themeColor="text1"/>
          <w:szCs w:val="28"/>
        </w:rPr>
      </w:pPr>
      <w:r>
        <w:rPr>
          <w:rFonts w:cs="Times New Roman"/>
          <w:color w:val="000000" w:themeColor="text1"/>
          <w:szCs w:val="28"/>
        </w:rPr>
        <w:t>Endvidere omfatter selskabsskattelovens § 1, stk. 4 og 5, visse investeringsinstitutter med minimumsbeskatning</w:t>
      </w:r>
      <w:r w:rsidR="00FF0FD0">
        <w:rPr>
          <w:rFonts w:cs="Times New Roman"/>
          <w:color w:val="000000" w:themeColor="text1"/>
          <w:szCs w:val="28"/>
        </w:rPr>
        <w:t xml:space="preserve">, jf. selskabsskattelovens § 1, stk. 1, nr. 5 c og kontoførende investeringsforeninger, jf. selskabsskattelovens § 5 d. </w:t>
      </w:r>
    </w:p>
    <w:p w14:paraId="426D251C" w14:textId="6862C66C" w:rsidR="00A05118" w:rsidRPr="00815B3E" w:rsidRDefault="00CB4E88" w:rsidP="00CB4E88">
      <w:pPr>
        <w:spacing w:after="240"/>
        <w:rPr>
          <w:rFonts w:cs="Times New Roman"/>
          <w:color w:val="000000" w:themeColor="text1"/>
          <w:szCs w:val="28"/>
        </w:rPr>
      </w:pPr>
      <w:r w:rsidRPr="00815B3E">
        <w:rPr>
          <w:rFonts w:cs="Times New Roman"/>
          <w:color w:val="000000" w:themeColor="text1"/>
          <w:szCs w:val="28"/>
        </w:rPr>
        <w:t>Det foreslås</w:t>
      </w:r>
      <w:r w:rsidR="000D42EF">
        <w:rPr>
          <w:rFonts w:cs="Times New Roman"/>
          <w:color w:val="000000" w:themeColor="text1"/>
          <w:szCs w:val="28"/>
        </w:rPr>
        <w:t xml:space="preserve"> i</w:t>
      </w:r>
      <w:r w:rsidRPr="00815B3E">
        <w:rPr>
          <w:rFonts w:cs="Times New Roman"/>
          <w:color w:val="000000" w:themeColor="text1"/>
          <w:szCs w:val="28"/>
        </w:rPr>
        <w:t xml:space="preserve"> </w:t>
      </w:r>
      <w:r w:rsidR="00A05118" w:rsidRPr="00815B3E">
        <w:rPr>
          <w:rFonts w:cs="Times New Roman"/>
          <w:color w:val="000000" w:themeColor="text1"/>
          <w:szCs w:val="28"/>
        </w:rPr>
        <w:t xml:space="preserve">ejendomsavancebeskatningslovens </w:t>
      </w:r>
      <w:r w:rsidRPr="00815B3E">
        <w:rPr>
          <w:rFonts w:cs="Times New Roman"/>
          <w:i/>
          <w:iCs/>
          <w:color w:val="000000" w:themeColor="text1"/>
          <w:szCs w:val="28"/>
        </w:rPr>
        <w:t>§ 14</w:t>
      </w:r>
      <w:r w:rsidR="003D605B" w:rsidRPr="00815B3E">
        <w:rPr>
          <w:rFonts w:cs="Times New Roman"/>
          <w:i/>
          <w:iCs/>
          <w:color w:val="000000" w:themeColor="text1"/>
          <w:szCs w:val="28"/>
        </w:rPr>
        <w:t>,</w:t>
      </w:r>
      <w:r w:rsidRPr="00815B3E">
        <w:rPr>
          <w:rFonts w:cs="Times New Roman"/>
          <w:color w:val="000000" w:themeColor="text1"/>
          <w:szCs w:val="28"/>
        </w:rPr>
        <w:t xml:space="preserve"> </w:t>
      </w:r>
      <w:r w:rsidRPr="00815B3E">
        <w:rPr>
          <w:rFonts w:cs="Times New Roman"/>
          <w:i/>
          <w:iCs/>
          <w:color w:val="000000" w:themeColor="text1"/>
          <w:szCs w:val="28"/>
        </w:rPr>
        <w:t>stk. 3</w:t>
      </w:r>
      <w:r w:rsidR="003D605B" w:rsidRPr="00815B3E">
        <w:rPr>
          <w:rFonts w:cs="Times New Roman"/>
          <w:i/>
          <w:iCs/>
          <w:color w:val="000000" w:themeColor="text1"/>
          <w:szCs w:val="28"/>
        </w:rPr>
        <w:t>,</w:t>
      </w:r>
      <w:r w:rsidRPr="00815B3E">
        <w:rPr>
          <w:rFonts w:cs="Times New Roman"/>
          <w:color w:val="000000" w:themeColor="text1"/>
          <w:szCs w:val="28"/>
        </w:rPr>
        <w:t xml:space="preserve"> at en ejendom </w:t>
      </w:r>
      <w:r w:rsidR="004A572F">
        <w:rPr>
          <w:rFonts w:cs="Times New Roman"/>
          <w:color w:val="000000" w:themeColor="text1"/>
          <w:szCs w:val="28"/>
        </w:rPr>
        <w:t xml:space="preserve">skal </w:t>
      </w:r>
      <w:r w:rsidRPr="00815B3E">
        <w:rPr>
          <w:rFonts w:cs="Times New Roman"/>
          <w:color w:val="000000" w:themeColor="text1"/>
          <w:szCs w:val="28"/>
        </w:rPr>
        <w:t xml:space="preserve">vedblive med at være lagerbeskattet, så længe den skattepligtige ejer ejendommen. </w:t>
      </w:r>
    </w:p>
    <w:p w14:paraId="07EE782F" w14:textId="61DB0C7C" w:rsidR="00CB4E88" w:rsidRPr="00815B3E" w:rsidRDefault="00CB4E88" w:rsidP="00CB4E88">
      <w:pPr>
        <w:spacing w:after="240"/>
        <w:rPr>
          <w:rFonts w:cs="Times New Roman"/>
          <w:color w:val="000000" w:themeColor="text1"/>
          <w:szCs w:val="28"/>
        </w:rPr>
      </w:pPr>
      <w:r w:rsidRPr="00815B3E">
        <w:rPr>
          <w:rFonts w:cs="Times New Roman"/>
          <w:color w:val="000000" w:themeColor="text1"/>
          <w:szCs w:val="28"/>
        </w:rPr>
        <w:t>Denne regel foreslås af administrative hensyn</w:t>
      </w:r>
      <w:r w:rsidR="006D2FBA" w:rsidRPr="00815B3E">
        <w:rPr>
          <w:rFonts w:cs="Times New Roman"/>
          <w:color w:val="000000" w:themeColor="text1"/>
          <w:szCs w:val="28"/>
        </w:rPr>
        <w:t>. Det ville</w:t>
      </w:r>
      <w:r w:rsidR="003D605B" w:rsidRPr="00815B3E">
        <w:rPr>
          <w:rFonts w:cs="Times New Roman"/>
          <w:color w:val="000000" w:themeColor="text1"/>
          <w:szCs w:val="28"/>
        </w:rPr>
        <w:t xml:space="preserve"> være uhensigtsmæssigt</w:t>
      </w:r>
      <w:r w:rsidR="006D2FBA" w:rsidRPr="00815B3E">
        <w:rPr>
          <w:rFonts w:cs="Times New Roman"/>
          <w:color w:val="000000" w:themeColor="text1"/>
          <w:szCs w:val="28"/>
        </w:rPr>
        <w:t xml:space="preserve"> bl.a. i relation til </w:t>
      </w:r>
      <w:r w:rsidR="000D42EF">
        <w:rPr>
          <w:rFonts w:cs="Times New Roman"/>
          <w:color w:val="000000" w:themeColor="text1"/>
          <w:szCs w:val="28"/>
        </w:rPr>
        <w:t>S</w:t>
      </w:r>
      <w:r w:rsidR="004A572F">
        <w:rPr>
          <w:rFonts w:cs="Times New Roman"/>
          <w:color w:val="000000" w:themeColor="text1"/>
          <w:szCs w:val="28"/>
        </w:rPr>
        <w:t>katteforvaltningen</w:t>
      </w:r>
      <w:r w:rsidR="004A572F" w:rsidRPr="00815B3E">
        <w:rPr>
          <w:rFonts w:cs="Times New Roman"/>
          <w:color w:val="000000" w:themeColor="text1"/>
          <w:szCs w:val="28"/>
        </w:rPr>
        <w:t xml:space="preserve">s </w:t>
      </w:r>
      <w:r w:rsidR="006D2FBA" w:rsidRPr="00815B3E">
        <w:rPr>
          <w:rFonts w:cs="Times New Roman"/>
          <w:color w:val="000000" w:themeColor="text1"/>
          <w:szCs w:val="28"/>
        </w:rPr>
        <w:t xml:space="preserve">kontrol med værdiansættelsen af ejendomme i forbindelse med overgang fra det ene opgørelsesprincip til det andet, hvis </w:t>
      </w:r>
      <w:r w:rsidR="004A572F">
        <w:rPr>
          <w:rFonts w:cs="Times New Roman"/>
          <w:color w:val="000000" w:themeColor="text1"/>
          <w:szCs w:val="28"/>
        </w:rPr>
        <w:t xml:space="preserve">der </w:t>
      </w:r>
      <w:r w:rsidR="006D2FBA" w:rsidRPr="00815B3E">
        <w:rPr>
          <w:rFonts w:cs="Times New Roman"/>
          <w:color w:val="000000" w:themeColor="text1"/>
          <w:szCs w:val="28"/>
        </w:rPr>
        <w:t>i ejertiden var adgang til at sk</w:t>
      </w:r>
      <w:r w:rsidR="003D605B" w:rsidRPr="00815B3E">
        <w:rPr>
          <w:rFonts w:cs="Times New Roman"/>
          <w:color w:val="000000" w:themeColor="text1"/>
          <w:szCs w:val="28"/>
        </w:rPr>
        <w:t>ifte beskatningsprincip fra et realisationsprincip til et lagerbeskatningsprincip og tilbage igen.</w:t>
      </w:r>
    </w:p>
    <w:p w14:paraId="559BC9D9" w14:textId="144F2B7B" w:rsidR="006D2FBA" w:rsidRPr="00815B3E" w:rsidRDefault="006D2FBA" w:rsidP="00673631">
      <w:pPr>
        <w:spacing w:after="240"/>
        <w:rPr>
          <w:rFonts w:cs="Times New Roman"/>
          <w:color w:val="000000" w:themeColor="text1"/>
          <w:szCs w:val="28"/>
        </w:rPr>
      </w:pPr>
      <w:r w:rsidRPr="00815B3E">
        <w:rPr>
          <w:rFonts w:cs="Times New Roman"/>
          <w:color w:val="000000" w:themeColor="text1"/>
          <w:szCs w:val="28"/>
        </w:rPr>
        <w:t>Den foreslåede bestemmelse i ejendomsavancebeskatningslovens § 14, stk. 3, indebærer</w:t>
      </w:r>
      <w:r w:rsidR="003D605B" w:rsidRPr="00815B3E">
        <w:rPr>
          <w:rFonts w:cs="Times New Roman"/>
          <w:color w:val="000000" w:themeColor="text1"/>
          <w:szCs w:val="28"/>
        </w:rPr>
        <w:t xml:space="preserve"> </w:t>
      </w:r>
      <w:r w:rsidRPr="00815B3E">
        <w:rPr>
          <w:rFonts w:cs="Times New Roman"/>
          <w:color w:val="000000" w:themeColor="text1"/>
          <w:szCs w:val="28"/>
        </w:rPr>
        <w:t xml:space="preserve">for eksempel, at </w:t>
      </w:r>
      <w:r w:rsidR="003D605B" w:rsidRPr="00815B3E">
        <w:rPr>
          <w:rFonts w:cs="Times New Roman"/>
          <w:color w:val="000000" w:themeColor="text1"/>
          <w:szCs w:val="28"/>
        </w:rPr>
        <w:t xml:space="preserve">en </w:t>
      </w:r>
      <w:r w:rsidRPr="00815B3E">
        <w:rPr>
          <w:rFonts w:cs="Times New Roman"/>
          <w:color w:val="000000" w:themeColor="text1"/>
          <w:szCs w:val="28"/>
        </w:rPr>
        <w:t xml:space="preserve">lagerbeskattet </w:t>
      </w:r>
      <w:r w:rsidR="003D605B" w:rsidRPr="00815B3E">
        <w:rPr>
          <w:rFonts w:cs="Times New Roman"/>
          <w:color w:val="000000" w:themeColor="text1"/>
          <w:szCs w:val="28"/>
        </w:rPr>
        <w:t xml:space="preserve">ejendom, der </w:t>
      </w:r>
      <w:r w:rsidRPr="00815B3E">
        <w:rPr>
          <w:rFonts w:cs="Times New Roman"/>
          <w:color w:val="000000" w:themeColor="text1"/>
          <w:szCs w:val="28"/>
        </w:rPr>
        <w:t>overgår fra at være udlejet i</w:t>
      </w:r>
      <w:r w:rsidR="003D605B" w:rsidRPr="00815B3E">
        <w:rPr>
          <w:rFonts w:cs="Times New Roman"/>
          <w:color w:val="000000" w:themeColor="text1"/>
          <w:szCs w:val="28"/>
        </w:rPr>
        <w:t xml:space="preserve"> overvejende </w:t>
      </w:r>
      <w:r w:rsidRPr="00815B3E">
        <w:rPr>
          <w:rFonts w:cs="Times New Roman"/>
          <w:color w:val="000000" w:themeColor="text1"/>
          <w:szCs w:val="28"/>
        </w:rPr>
        <w:t xml:space="preserve">omfang til </w:t>
      </w:r>
      <w:r w:rsidR="003D605B" w:rsidRPr="00815B3E">
        <w:rPr>
          <w:rFonts w:cs="Times New Roman"/>
          <w:color w:val="000000" w:themeColor="text1"/>
          <w:szCs w:val="28"/>
        </w:rPr>
        <w:t xml:space="preserve">ikke længere </w:t>
      </w:r>
      <w:r w:rsidRPr="00815B3E">
        <w:rPr>
          <w:rFonts w:cs="Times New Roman"/>
          <w:color w:val="000000" w:themeColor="text1"/>
          <w:szCs w:val="28"/>
        </w:rPr>
        <w:t>at være udlejet</w:t>
      </w:r>
      <w:r w:rsidR="003D605B" w:rsidRPr="00815B3E">
        <w:rPr>
          <w:rFonts w:cs="Times New Roman"/>
          <w:color w:val="000000" w:themeColor="text1"/>
          <w:szCs w:val="28"/>
        </w:rPr>
        <w:t xml:space="preserve">, vedbliver </w:t>
      </w:r>
      <w:r w:rsidR="003D605B" w:rsidRPr="00815B3E">
        <w:rPr>
          <w:rFonts w:cs="Times New Roman"/>
          <w:color w:val="000000" w:themeColor="text1"/>
          <w:szCs w:val="28"/>
        </w:rPr>
        <w:lastRenderedPageBreak/>
        <w:t>med at være lagerbeskattet.</w:t>
      </w:r>
      <w:r w:rsidR="00787DCD">
        <w:rPr>
          <w:rFonts w:cs="Times New Roman"/>
          <w:color w:val="000000" w:themeColor="text1"/>
          <w:szCs w:val="28"/>
        </w:rPr>
        <w:t xml:space="preserve"> Ejendommen medgår hermed ikke længere i opgørelsen af handelsværdien af porteføljen af udlejningsejendomme efter den foreslåede § 14, stk. 1, nr. 2. </w:t>
      </w:r>
      <w:r w:rsidR="003D605B" w:rsidRPr="00815B3E">
        <w:rPr>
          <w:rFonts w:cs="Times New Roman"/>
          <w:color w:val="000000" w:themeColor="text1"/>
          <w:szCs w:val="28"/>
        </w:rPr>
        <w:t xml:space="preserve"> </w:t>
      </w:r>
      <w:r w:rsidRPr="00815B3E">
        <w:rPr>
          <w:rFonts w:cs="Times New Roman"/>
          <w:color w:val="000000" w:themeColor="text1"/>
          <w:szCs w:val="28"/>
        </w:rPr>
        <w:t>Bestemmelsen indebærer endvidere</w:t>
      </w:r>
      <w:r w:rsidR="003D605B" w:rsidRPr="00815B3E">
        <w:rPr>
          <w:rFonts w:cs="Times New Roman"/>
          <w:color w:val="000000" w:themeColor="text1"/>
          <w:szCs w:val="28"/>
        </w:rPr>
        <w:t xml:space="preserve">, at </w:t>
      </w:r>
      <w:r w:rsidRPr="00815B3E">
        <w:rPr>
          <w:rFonts w:cs="Times New Roman"/>
          <w:color w:val="000000" w:themeColor="text1"/>
          <w:szCs w:val="28"/>
        </w:rPr>
        <w:t>selv om</w:t>
      </w:r>
      <w:r w:rsidR="003D605B" w:rsidRPr="00815B3E">
        <w:rPr>
          <w:rFonts w:cs="Times New Roman"/>
          <w:color w:val="000000" w:themeColor="text1"/>
          <w:szCs w:val="28"/>
        </w:rPr>
        <w:t xml:space="preserve"> handelsværdien af portefølje</w:t>
      </w:r>
      <w:r w:rsidRPr="00815B3E">
        <w:rPr>
          <w:rFonts w:cs="Times New Roman"/>
          <w:color w:val="000000" w:themeColor="text1"/>
          <w:szCs w:val="28"/>
        </w:rPr>
        <w:t>n af udlejningsejendomme</w:t>
      </w:r>
      <w:r w:rsidR="003D605B" w:rsidRPr="00815B3E">
        <w:rPr>
          <w:rFonts w:cs="Times New Roman"/>
          <w:color w:val="000000" w:themeColor="text1"/>
          <w:szCs w:val="28"/>
        </w:rPr>
        <w:t xml:space="preserve"> falder til under 100 mio. kr.</w:t>
      </w:r>
      <w:r w:rsidR="00D63314" w:rsidRPr="00815B3E">
        <w:rPr>
          <w:rFonts w:cs="Times New Roman"/>
          <w:color w:val="000000" w:themeColor="text1"/>
          <w:szCs w:val="28"/>
        </w:rPr>
        <w:t>,</w:t>
      </w:r>
      <w:r w:rsidRPr="00815B3E">
        <w:rPr>
          <w:rFonts w:cs="Times New Roman"/>
          <w:color w:val="000000" w:themeColor="text1"/>
          <w:szCs w:val="28"/>
        </w:rPr>
        <w:t xml:space="preserve"> f.eks. fordi nogle af ejendommene frasælges,</w:t>
      </w:r>
      <w:r w:rsidR="003D605B" w:rsidRPr="00815B3E">
        <w:rPr>
          <w:rFonts w:cs="Times New Roman"/>
          <w:color w:val="000000" w:themeColor="text1"/>
          <w:szCs w:val="28"/>
        </w:rPr>
        <w:t xml:space="preserve"> så vil </w:t>
      </w:r>
      <w:r w:rsidRPr="00815B3E">
        <w:rPr>
          <w:rFonts w:cs="Times New Roman"/>
          <w:color w:val="000000" w:themeColor="text1"/>
          <w:szCs w:val="28"/>
        </w:rPr>
        <w:t>de lagerbeskattede ejendomme, der beholdes,</w:t>
      </w:r>
      <w:r w:rsidR="003D605B" w:rsidRPr="00815B3E">
        <w:rPr>
          <w:rFonts w:cs="Times New Roman"/>
          <w:color w:val="000000" w:themeColor="text1"/>
          <w:szCs w:val="28"/>
        </w:rPr>
        <w:t xml:space="preserve"> vedblive med at være lagerbeskattet</w:t>
      </w:r>
      <w:r w:rsidR="00787DCD">
        <w:rPr>
          <w:rFonts w:cs="Times New Roman"/>
          <w:color w:val="000000" w:themeColor="text1"/>
          <w:szCs w:val="28"/>
        </w:rPr>
        <w:t>.</w:t>
      </w:r>
      <w:r w:rsidR="00E468BD">
        <w:rPr>
          <w:rFonts w:cs="Times New Roman"/>
          <w:color w:val="000000" w:themeColor="text1"/>
          <w:szCs w:val="28"/>
        </w:rPr>
        <w:t xml:space="preserve"> </w:t>
      </w:r>
      <w:r w:rsidR="003D605B" w:rsidRPr="00815B3E">
        <w:rPr>
          <w:rFonts w:cs="Times New Roman"/>
          <w:color w:val="000000" w:themeColor="text1"/>
          <w:szCs w:val="28"/>
        </w:rPr>
        <w:t xml:space="preserve"> </w:t>
      </w:r>
    </w:p>
    <w:p w14:paraId="4B7F7C2F" w14:textId="3969525B" w:rsidR="00FF0FD0" w:rsidRDefault="00E25EEF" w:rsidP="00673631">
      <w:pPr>
        <w:spacing w:after="240"/>
        <w:rPr>
          <w:rFonts w:cs="Times New Roman"/>
          <w:color w:val="000000" w:themeColor="text1"/>
          <w:szCs w:val="28"/>
        </w:rPr>
      </w:pPr>
      <w:r w:rsidRPr="00815B3E">
        <w:rPr>
          <w:rFonts w:cs="Times New Roman"/>
          <w:color w:val="000000" w:themeColor="text1"/>
          <w:szCs w:val="28"/>
        </w:rPr>
        <w:t>Hvis f</w:t>
      </w:r>
      <w:r w:rsidR="003D605B" w:rsidRPr="00815B3E">
        <w:rPr>
          <w:rFonts w:cs="Times New Roman"/>
          <w:color w:val="000000" w:themeColor="text1"/>
          <w:szCs w:val="28"/>
        </w:rPr>
        <w:t xml:space="preserve">.eks. en </w:t>
      </w:r>
      <w:r w:rsidRPr="00815B3E">
        <w:rPr>
          <w:rFonts w:cs="Times New Roman"/>
          <w:color w:val="000000" w:themeColor="text1"/>
          <w:szCs w:val="28"/>
        </w:rPr>
        <w:t>ejendoms</w:t>
      </w:r>
      <w:r w:rsidR="003D605B" w:rsidRPr="00815B3E">
        <w:rPr>
          <w:rFonts w:cs="Times New Roman"/>
          <w:color w:val="000000" w:themeColor="text1"/>
          <w:szCs w:val="28"/>
        </w:rPr>
        <w:t>portefølje</w:t>
      </w:r>
      <w:r w:rsidRPr="00815B3E">
        <w:rPr>
          <w:rFonts w:cs="Times New Roman"/>
          <w:color w:val="000000" w:themeColor="text1"/>
          <w:szCs w:val="28"/>
        </w:rPr>
        <w:t xml:space="preserve"> består af tre lagerbeskattede udlejningsejendomme</w:t>
      </w:r>
      <w:r w:rsidR="003D605B" w:rsidRPr="00815B3E">
        <w:rPr>
          <w:rFonts w:cs="Times New Roman"/>
          <w:color w:val="000000" w:themeColor="text1"/>
          <w:szCs w:val="28"/>
        </w:rPr>
        <w:t xml:space="preserve"> med en handelsværdi på</w:t>
      </w:r>
      <w:r w:rsidRPr="00815B3E">
        <w:rPr>
          <w:rFonts w:cs="Times New Roman"/>
          <w:color w:val="000000" w:themeColor="text1"/>
          <w:szCs w:val="28"/>
        </w:rPr>
        <w:t xml:space="preserve"> 40 mio. kr. hver, hvoraf den e</w:t>
      </w:r>
      <w:r w:rsidR="003B35A2">
        <w:rPr>
          <w:rFonts w:cs="Times New Roman"/>
          <w:color w:val="000000" w:themeColor="text1"/>
          <w:szCs w:val="28"/>
        </w:rPr>
        <w:t>n</w:t>
      </w:r>
      <w:r w:rsidRPr="00815B3E">
        <w:rPr>
          <w:rFonts w:cs="Times New Roman"/>
          <w:color w:val="000000" w:themeColor="text1"/>
          <w:szCs w:val="28"/>
        </w:rPr>
        <w:t xml:space="preserve">e ejendom sælges fra, så værdien af ejendomsporteføljen reduceres til 80 mio. kr., </w:t>
      </w:r>
      <w:r w:rsidR="00D63314" w:rsidRPr="00815B3E">
        <w:rPr>
          <w:rFonts w:cs="Times New Roman"/>
          <w:color w:val="000000" w:themeColor="text1"/>
          <w:szCs w:val="28"/>
        </w:rPr>
        <w:t xml:space="preserve">så </w:t>
      </w:r>
      <w:r w:rsidRPr="00815B3E">
        <w:rPr>
          <w:rFonts w:cs="Times New Roman"/>
          <w:color w:val="000000" w:themeColor="text1"/>
          <w:szCs w:val="28"/>
        </w:rPr>
        <w:t>vil de to ejendomme, der beholdes, efter forslaget fortsat være omfattet af lagerbeskatningen</w:t>
      </w:r>
      <w:r w:rsidR="004A572F">
        <w:rPr>
          <w:rFonts w:cs="Times New Roman"/>
          <w:color w:val="000000" w:themeColor="text1"/>
          <w:szCs w:val="28"/>
        </w:rPr>
        <w:t>, så længe ejendommen</w:t>
      </w:r>
      <w:r w:rsidR="000D42EF">
        <w:rPr>
          <w:rFonts w:cs="Times New Roman"/>
          <w:color w:val="000000" w:themeColor="text1"/>
          <w:szCs w:val="28"/>
        </w:rPr>
        <w:t>e</w:t>
      </w:r>
      <w:r w:rsidR="004A572F">
        <w:rPr>
          <w:rFonts w:cs="Times New Roman"/>
          <w:color w:val="000000" w:themeColor="text1"/>
          <w:szCs w:val="28"/>
        </w:rPr>
        <w:t xml:space="preserve"> ejes af den samme ejer</w:t>
      </w:r>
      <w:r w:rsidRPr="00815B3E">
        <w:rPr>
          <w:rFonts w:cs="Times New Roman"/>
          <w:color w:val="000000" w:themeColor="text1"/>
          <w:szCs w:val="28"/>
        </w:rPr>
        <w:t xml:space="preserve">. </w:t>
      </w:r>
    </w:p>
    <w:p w14:paraId="25FE1575" w14:textId="6FBA4C81" w:rsidR="00DD2A01" w:rsidRPr="00815B3E" w:rsidRDefault="00FF0FD0" w:rsidP="00673631">
      <w:pPr>
        <w:spacing w:after="240"/>
        <w:rPr>
          <w:rFonts w:cs="Times New Roman"/>
          <w:color w:val="000000" w:themeColor="text1"/>
          <w:szCs w:val="28"/>
        </w:rPr>
      </w:pPr>
      <w:r>
        <w:rPr>
          <w:rFonts w:cs="Times New Roman"/>
          <w:color w:val="000000" w:themeColor="text1"/>
          <w:szCs w:val="28"/>
        </w:rPr>
        <w:t xml:space="preserve">Hvis selskabet herefter køber en udlejningsejendom for 10 mio. kr., så den samlede værdi af ejendomme, der udlejes i overvejende omfang, ved udgangen af indkomståret udgør 90 mio. kr., så vil den nyerhvervede ejendom efter forslaget ikke skulle omfattes af lagerbeskatningen. </w:t>
      </w:r>
      <w:r>
        <w:rPr>
          <w:rFonts w:eastAsia="Calibri" w:cs="Times New Roman"/>
          <w:bCs/>
          <w:color w:val="000000" w:themeColor="text1"/>
          <w:szCs w:val="24"/>
        </w:rPr>
        <w:t>Det vil fortsat være en betingelse for, at den nyerhvervede ejendom omfattes af den foreslåede lagerbeskatning, at den samlede værdi af ejendomme, der udlejes i overvejende omfang, overstiger 100 mio. kr. ved indkomstårets udløb, jf. den foreslåede § 14, stk. 1, i ejendomsavancebeskatningsloven.</w:t>
      </w:r>
      <w:r w:rsidR="00ED3264">
        <w:rPr>
          <w:rFonts w:eastAsia="Calibri" w:cs="Times New Roman"/>
          <w:bCs/>
          <w:color w:val="000000" w:themeColor="text1"/>
          <w:szCs w:val="24"/>
        </w:rPr>
        <w:t xml:space="preserve"> </w:t>
      </w:r>
      <w:r w:rsidR="00ED3264" w:rsidRPr="00815B3E">
        <w:rPr>
          <w:rFonts w:eastAsia="Calibri" w:cs="Times New Roman"/>
          <w:bCs/>
          <w:color w:val="000000" w:themeColor="text1"/>
          <w:szCs w:val="24"/>
        </w:rPr>
        <w:t xml:space="preserve">Den foreslåede fastholdelse af lagerbeskatningen </w:t>
      </w:r>
      <w:r w:rsidR="00ED3264">
        <w:rPr>
          <w:rFonts w:eastAsia="Calibri" w:cs="Times New Roman"/>
          <w:bCs/>
          <w:color w:val="000000" w:themeColor="text1"/>
          <w:szCs w:val="24"/>
        </w:rPr>
        <w:t>i hele ejertiden</w:t>
      </w:r>
      <w:r w:rsidR="00ED3264" w:rsidRPr="00815B3E">
        <w:rPr>
          <w:rFonts w:eastAsia="Calibri" w:cs="Times New Roman"/>
          <w:bCs/>
          <w:color w:val="000000" w:themeColor="text1"/>
          <w:szCs w:val="24"/>
        </w:rPr>
        <w:t xml:space="preserve"> er </w:t>
      </w:r>
      <w:r w:rsidR="00ED3264">
        <w:rPr>
          <w:rFonts w:eastAsia="Calibri" w:cs="Times New Roman"/>
          <w:bCs/>
          <w:color w:val="000000" w:themeColor="text1"/>
          <w:szCs w:val="24"/>
        </w:rPr>
        <w:t xml:space="preserve">således </w:t>
      </w:r>
      <w:r w:rsidR="00ED3264" w:rsidRPr="00815B3E">
        <w:rPr>
          <w:rFonts w:eastAsia="Calibri" w:cs="Times New Roman"/>
          <w:bCs/>
          <w:color w:val="000000" w:themeColor="text1"/>
          <w:szCs w:val="24"/>
        </w:rPr>
        <w:t>efter forslaget ikke ensbetydende med, at der indtræder lagerbeskatning for alle ejendomme, der efterfølgende erhverves, selv om de udlejes i overvejende omfang</w:t>
      </w:r>
      <w:r>
        <w:rPr>
          <w:rFonts w:cs="Times New Roman"/>
          <w:color w:val="000000" w:themeColor="text1"/>
          <w:szCs w:val="28"/>
        </w:rPr>
        <w:t xml:space="preserve"> </w:t>
      </w:r>
      <w:r w:rsidR="00E20A39" w:rsidRPr="00815B3E">
        <w:rPr>
          <w:rFonts w:cs="Times New Roman"/>
          <w:color w:val="000000" w:themeColor="text1"/>
          <w:szCs w:val="28"/>
        </w:rPr>
        <w:t xml:space="preserve">Hvorvidt </w:t>
      </w:r>
      <w:r w:rsidR="00E25EEF" w:rsidRPr="00815B3E">
        <w:rPr>
          <w:rFonts w:cs="Times New Roman"/>
          <w:color w:val="000000" w:themeColor="text1"/>
          <w:szCs w:val="28"/>
        </w:rPr>
        <w:t xml:space="preserve">den solgte </w:t>
      </w:r>
      <w:r w:rsidR="00E20A39" w:rsidRPr="00815B3E">
        <w:rPr>
          <w:rFonts w:cs="Times New Roman"/>
          <w:color w:val="000000" w:themeColor="text1"/>
          <w:szCs w:val="28"/>
        </w:rPr>
        <w:t>ejendom</w:t>
      </w:r>
      <w:r w:rsidR="00E25EEF" w:rsidRPr="00815B3E">
        <w:rPr>
          <w:rFonts w:cs="Times New Roman"/>
          <w:color w:val="000000" w:themeColor="text1"/>
          <w:szCs w:val="28"/>
        </w:rPr>
        <w:t xml:space="preserve"> efter salget skal omfattes af lagerbeskatningen, </w:t>
      </w:r>
      <w:r w:rsidR="00E20A39" w:rsidRPr="00815B3E">
        <w:rPr>
          <w:rFonts w:cs="Times New Roman"/>
          <w:color w:val="000000" w:themeColor="text1"/>
          <w:szCs w:val="28"/>
        </w:rPr>
        <w:t xml:space="preserve">skal </w:t>
      </w:r>
      <w:r w:rsidR="00E25EEF" w:rsidRPr="00815B3E">
        <w:rPr>
          <w:rFonts w:cs="Times New Roman"/>
          <w:color w:val="000000" w:themeColor="text1"/>
          <w:szCs w:val="28"/>
        </w:rPr>
        <w:t>afgøres ud fra en vurdering af</w:t>
      </w:r>
      <w:r w:rsidR="00E20A39" w:rsidRPr="00815B3E">
        <w:rPr>
          <w:rFonts w:cs="Times New Roman"/>
          <w:color w:val="000000" w:themeColor="text1"/>
          <w:szCs w:val="28"/>
        </w:rPr>
        <w:t xml:space="preserve">, om </w:t>
      </w:r>
      <w:r w:rsidR="00E25EEF" w:rsidRPr="00815B3E">
        <w:rPr>
          <w:rFonts w:cs="Times New Roman"/>
          <w:color w:val="000000" w:themeColor="text1"/>
          <w:szCs w:val="28"/>
        </w:rPr>
        <w:t>ejendommen hos erhververen opfylder betingelserne lagerbeskatning, jf. forslaget til ejendomsbeskatningslovens § 14, stk. 1-2.</w:t>
      </w:r>
      <w:r w:rsidR="00E20A39" w:rsidRPr="00815B3E">
        <w:rPr>
          <w:rFonts w:cs="Times New Roman"/>
          <w:color w:val="000000" w:themeColor="text1"/>
          <w:szCs w:val="28"/>
        </w:rPr>
        <w:t xml:space="preserve"> </w:t>
      </w:r>
    </w:p>
    <w:p w14:paraId="7BB3E161" w14:textId="5651BDAC" w:rsidR="00E25EEF" w:rsidRPr="00815B3E" w:rsidRDefault="00E25EEF" w:rsidP="00673631">
      <w:pPr>
        <w:spacing w:after="240"/>
        <w:rPr>
          <w:rFonts w:cs="Times New Roman"/>
          <w:color w:val="000000" w:themeColor="text1"/>
          <w:szCs w:val="28"/>
        </w:rPr>
      </w:pPr>
      <w:r w:rsidRPr="00815B3E">
        <w:rPr>
          <w:rFonts w:cs="Times New Roman"/>
          <w:color w:val="000000" w:themeColor="text1"/>
          <w:szCs w:val="28"/>
        </w:rPr>
        <w:t>Den foreslåede lagerbeskatning følger således ikke ejendommen efter en afståelse. Det er alene den hidtidige ejer, der efter forslaget er forpligtet til at følge lagerprincippet for ejendomme, der en gang i dennes ejertid har været omfattet af lagerprincippet.</w:t>
      </w:r>
    </w:p>
    <w:p w14:paraId="6AE1E67F" w14:textId="198E7B25" w:rsidR="00C716AF" w:rsidRPr="00815B3E" w:rsidRDefault="008C7B67" w:rsidP="00AE0619">
      <w:pPr>
        <w:spacing w:after="240"/>
        <w:rPr>
          <w:rFonts w:cs="Times New Roman"/>
          <w:color w:val="000000" w:themeColor="text1"/>
          <w:szCs w:val="28"/>
          <w:u w:val="single"/>
        </w:rPr>
      </w:pPr>
      <w:r>
        <w:rPr>
          <w:rFonts w:eastAsia="Calibri" w:cs="Times New Roman"/>
          <w:bCs/>
          <w:color w:val="000000" w:themeColor="text1"/>
          <w:szCs w:val="24"/>
        </w:rPr>
        <w:t xml:space="preserve"> </w:t>
      </w:r>
      <w:r w:rsidR="00C716AF" w:rsidRPr="00815B3E">
        <w:rPr>
          <w:rFonts w:cs="Times New Roman"/>
          <w:color w:val="000000" w:themeColor="text1"/>
          <w:szCs w:val="28"/>
          <w:u w:val="single"/>
        </w:rPr>
        <w:t>Til § 14 A</w:t>
      </w:r>
    </w:p>
    <w:p w14:paraId="7D2878D1" w14:textId="1A6045FB" w:rsidR="00181AEC" w:rsidRPr="00815B3E" w:rsidRDefault="00181AEC" w:rsidP="00AE0619">
      <w:pPr>
        <w:spacing w:after="240"/>
        <w:rPr>
          <w:rFonts w:cs="Times New Roman"/>
          <w:color w:val="000000" w:themeColor="text1"/>
          <w:szCs w:val="28"/>
        </w:rPr>
      </w:pPr>
      <w:r w:rsidRPr="00815B3E">
        <w:rPr>
          <w:rFonts w:cs="Times New Roman"/>
          <w:color w:val="000000" w:themeColor="text1"/>
          <w:szCs w:val="28"/>
        </w:rPr>
        <w:t xml:space="preserve">Det foreslås at indsætte en bestemmelse i </w:t>
      </w:r>
      <w:r w:rsidR="009C3102" w:rsidRPr="00815B3E">
        <w:rPr>
          <w:rFonts w:cs="Times New Roman"/>
          <w:color w:val="000000" w:themeColor="text1"/>
          <w:szCs w:val="28"/>
        </w:rPr>
        <w:t>ejendomsavancebeskatningsloven</w:t>
      </w:r>
      <w:r w:rsidR="00D63314" w:rsidRPr="00815B3E">
        <w:rPr>
          <w:rFonts w:cs="Times New Roman"/>
          <w:color w:val="000000" w:themeColor="text1"/>
          <w:szCs w:val="28"/>
        </w:rPr>
        <w:t>s</w:t>
      </w:r>
      <w:r w:rsidR="00AE0619" w:rsidRPr="00815B3E">
        <w:rPr>
          <w:rFonts w:cs="Times New Roman"/>
          <w:color w:val="000000" w:themeColor="text1"/>
          <w:szCs w:val="28"/>
        </w:rPr>
        <w:t xml:space="preserve"> </w:t>
      </w:r>
      <w:r w:rsidR="00AE0619" w:rsidRPr="00815B3E">
        <w:rPr>
          <w:rFonts w:cs="Times New Roman"/>
          <w:i/>
          <w:iCs/>
          <w:color w:val="000000" w:themeColor="text1"/>
          <w:szCs w:val="28"/>
        </w:rPr>
        <w:t>§ 14 A</w:t>
      </w:r>
      <w:r w:rsidR="00AE0619" w:rsidRPr="00815B3E">
        <w:rPr>
          <w:rFonts w:cs="Times New Roman"/>
          <w:color w:val="000000" w:themeColor="text1"/>
          <w:szCs w:val="28"/>
        </w:rPr>
        <w:t xml:space="preserve"> </w:t>
      </w:r>
      <w:r w:rsidRPr="00815B3E">
        <w:rPr>
          <w:rFonts w:cs="Times New Roman"/>
          <w:color w:val="000000" w:themeColor="text1"/>
          <w:szCs w:val="28"/>
        </w:rPr>
        <w:t xml:space="preserve">om, hvordan fortjeneste og tab på en ejendom skal opgøres efter det foreslåede lagerprincip. </w:t>
      </w:r>
    </w:p>
    <w:p w14:paraId="4E4ABB6F" w14:textId="0A1703F3" w:rsidR="00AE0619" w:rsidRPr="00815B3E" w:rsidRDefault="00181AEC" w:rsidP="00AE0619">
      <w:pPr>
        <w:spacing w:after="240"/>
        <w:rPr>
          <w:rFonts w:eastAsia="Calibri" w:cs="Times New Roman"/>
          <w:bCs/>
          <w:color w:val="000000" w:themeColor="text1"/>
          <w:szCs w:val="24"/>
        </w:rPr>
      </w:pPr>
      <w:r w:rsidRPr="00815B3E">
        <w:rPr>
          <w:rFonts w:cs="Times New Roman"/>
          <w:color w:val="000000" w:themeColor="text1"/>
          <w:szCs w:val="28"/>
        </w:rPr>
        <w:t xml:space="preserve">Det foreslås i </w:t>
      </w:r>
      <w:r w:rsidR="009C3102" w:rsidRPr="00815B3E">
        <w:rPr>
          <w:rFonts w:cs="Times New Roman"/>
          <w:color w:val="000000" w:themeColor="text1"/>
          <w:szCs w:val="28"/>
        </w:rPr>
        <w:t>ejendomsavancebeskatningsloven</w:t>
      </w:r>
      <w:r w:rsidRPr="00815B3E">
        <w:rPr>
          <w:rFonts w:cs="Times New Roman"/>
          <w:color w:val="000000" w:themeColor="text1"/>
          <w:szCs w:val="28"/>
        </w:rPr>
        <w:t xml:space="preserve"> § 14 A,</w:t>
      </w:r>
      <w:r w:rsidR="00AE0619" w:rsidRPr="00815B3E">
        <w:rPr>
          <w:rFonts w:cs="Times New Roman"/>
          <w:color w:val="000000" w:themeColor="text1"/>
          <w:szCs w:val="28"/>
        </w:rPr>
        <w:t xml:space="preserve"> </w:t>
      </w:r>
      <w:r w:rsidR="00AE0619" w:rsidRPr="00815B3E">
        <w:rPr>
          <w:rFonts w:cs="Times New Roman"/>
          <w:i/>
          <w:iCs/>
          <w:color w:val="000000" w:themeColor="text1"/>
          <w:szCs w:val="28"/>
        </w:rPr>
        <w:t>stk. 1</w:t>
      </w:r>
      <w:r w:rsidR="00AE0619" w:rsidRPr="00815B3E">
        <w:rPr>
          <w:rFonts w:cs="Times New Roman"/>
          <w:color w:val="000000" w:themeColor="text1"/>
          <w:szCs w:val="28"/>
        </w:rPr>
        <w:t xml:space="preserve">, at </w:t>
      </w:r>
      <w:r w:rsidR="00AE0619" w:rsidRPr="00815B3E">
        <w:rPr>
          <w:rFonts w:eastAsia="Calibri" w:cs="Times New Roman"/>
          <w:bCs/>
          <w:color w:val="000000" w:themeColor="text1"/>
          <w:szCs w:val="24"/>
        </w:rPr>
        <w:t xml:space="preserve">fortjeneste og tab på en fast ejendom </w:t>
      </w:r>
      <w:r w:rsidR="00ED3264">
        <w:rPr>
          <w:rFonts w:eastAsia="Calibri" w:cs="Times New Roman"/>
          <w:bCs/>
          <w:color w:val="000000" w:themeColor="text1"/>
          <w:szCs w:val="24"/>
        </w:rPr>
        <w:t xml:space="preserve">omfattet af ejendomsavancebeskatningslovens § </w:t>
      </w:r>
      <w:r w:rsidR="00ED3264">
        <w:rPr>
          <w:rFonts w:eastAsia="Calibri" w:cs="Times New Roman"/>
          <w:bCs/>
          <w:color w:val="000000" w:themeColor="text1"/>
          <w:szCs w:val="24"/>
        </w:rPr>
        <w:lastRenderedPageBreak/>
        <w:t xml:space="preserve">14 </w:t>
      </w:r>
      <w:r w:rsidR="00AE0619" w:rsidRPr="00815B3E">
        <w:rPr>
          <w:rFonts w:eastAsia="Calibri" w:cs="Times New Roman"/>
          <w:bCs/>
          <w:color w:val="000000" w:themeColor="text1"/>
          <w:szCs w:val="24"/>
        </w:rPr>
        <w:t xml:space="preserve">opgøres som forskellen mellem ejendommens handelsværdi ved indkomstårets udløb og ejendommens handelsværdi ved indkomstårets begyndelse (lagerprincippet). </w:t>
      </w:r>
      <w:r w:rsidRPr="00815B3E">
        <w:rPr>
          <w:rFonts w:eastAsia="Calibri" w:cs="Times New Roman"/>
          <w:bCs/>
          <w:color w:val="000000" w:themeColor="text1"/>
          <w:szCs w:val="24"/>
        </w:rPr>
        <w:t>Endvidere foreslås, at hvis ejendommen er erhvervet i løbet af indkomståret, anvendes ejendommens</w:t>
      </w:r>
      <w:r w:rsidR="00F37F22">
        <w:rPr>
          <w:rFonts w:eastAsia="Calibri" w:cs="Times New Roman"/>
          <w:bCs/>
          <w:color w:val="000000" w:themeColor="text1"/>
          <w:szCs w:val="24"/>
        </w:rPr>
        <w:t xml:space="preserve"> kontantomregnede</w:t>
      </w:r>
      <w:r w:rsidRPr="00815B3E">
        <w:rPr>
          <w:rFonts w:eastAsia="Calibri" w:cs="Times New Roman"/>
          <w:bCs/>
          <w:color w:val="000000" w:themeColor="text1"/>
          <w:szCs w:val="24"/>
        </w:rPr>
        <w:t xml:space="preserve"> anskaffelses</w:t>
      </w:r>
      <w:r w:rsidR="00A91B9E">
        <w:rPr>
          <w:rFonts w:eastAsia="Calibri" w:cs="Times New Roman"/>
          <w:bCs/>
          <w:color w:val="000000" w:themeColor="text1"/>
          <w:szCs w:val="24"/>
        </w:rPr>
        <w:t>sum</w:t>
      </w:r>
      <w:r w:rsidRPr="00815B3E">
        <w:rPr>
          <w:rFonts w:eastAsia="Calibri" w:cs="Times New Roman"/>
          <w:bCs/>
          <w:color w:val="000000" w:themeColor="text1"/>
          <w:szCs w:val="24"/>
        </w:rPr>
        <w:t xml:space="preserve"> i stedet for værdien ved indkomstårets begyndelse, og hvis ejendommen er afstået i løbet af indkomståret, anvendes ejendommens </w:t>
      </w:r>
      <w:r w:rsidR="00F37F22">
        <w:rPr>
          <w:rFonts w:eastAsia="Calibri" w:cs="Times New Roman"/>
          <w:bCs/>
          <w:color w:val="000000" w:themeColor="text1"/>
          <w:szCs w:val="24"/>
        </w:rPr>
        <w:t xml:space="preserve">kontantomregnede </w:t>
      </w:r>
      <w:r w:rsidRPr="00815B3E">
        <w:rPr>
          <w:rFonts w:eastAsia="Calibri" w:cs="Times New Roman"/>
          <w:bCs/>
          <w:color w:val="000000" w:themeColor="text1"/>
          <w:szCs w:val="24"/>
        </w:rPr>
        <w:t>afståelsessum i stedet for værdien ved indkomstårets udløb.</w:t>
      </w:r>
    </w:p>
    <w:p w14:paraId="7F267957" w14:textId="2B7AD095" w:rsidR="00AE0619" w:rsidRPr="00815B3E" w:rsidRDefault="00191601" w:rsidP="00AE0619">
      <w:pPr>
        <w:spacing w:after="240"/>
        <w:rPr>
          <w:rFonts w:eastAsia="Calibri" w:cs="Times New Roman"/>
          <w:bCs/>
          <w:color w:val="000000" w:themeColor="text1"/>
          <w:szCs w:val="24"/>
        </w:rPr>
      </w:pPr>
      <w:r w:rsidRPr="00815B3E">
        <w:rPr>
          <w:rFonts w:eastAsia="Calibri" w:cs="Times New Roman"/>
          <w:bCs/>
          <w:color w:val="000000" w:themeColor="text1"/>
          <w:szCs w:val="24"/>
        </w:rPr>
        <w:t>Første punktum i den foreslåede § 14 A, stk. 1, indebærer for lagerbeskattede ejendomme, at en værdistigning medregnes som fortjeneste, mens et værdifald fratrækkes som et tab ved opgørelsen af den skattepligtige indkomst.</w:t>
      </w:r>
      <w:r w:rsidR="00A91B9E">
        <w:rPr>
          <w:rFonts w:eastAsia="Calibri" w:cs="Times New Roman"/>
          <w:bCs/>
          <w:color w:val="000000" w:themeColor="text1"/>
          <w:szCs w:val="24"/>
        </w:rPr>
        <w:t xml:space="preserve"> </w:t>
      </w:r>
      <w:r w:rsidR="00AE0619" w:rsidRPr="00815B3E">
        <w:rPr>
          <w:rFonts w:eastAsia="Calibri" w:cs="Times New Roman"/>
          <w:bCs/>
          <w:color w:val="000000" w:themeColor="text1"/>
          <w:szCs w:val="24"/>
        </w:rPr>
        <w:t>Har en ejendom</w:t>
      </w:r>
      <w:r w:rsidR="006B381E" w:rsidRPr="00815B3E">
        <w:rPr>
          <w:rFonts w:eastAsia="Calibri" w:cs="Times New Roman"/>
          <w:bCs/>
          <w:color w:val="000000" w:themeColor="text1"/>
          <w:szCs w:val="24"/>
        </w:rPr>
        <w:t>, der omfattes af den foreslåede lagerbeskatning,</w:t>
      </w:r>
      <w:r w:rsidR="00AE0619" w:rsidRPr="00815B3E">
        <w:rPr>
          <w:rFonts w:eastAsia="Calibri" w:cs="Times New Roman"/>
          <w:bCs/>
          <w:color w:val="000000" w:themeColor="text1"/>
          <w:szCs w:val="24"/>
        </w:rPr>
        <w:t xml:space="preserve"> f.eks. en handelsværdi på 200 mio. kr. ved indkomstårets begyndelse og en handelsværdi på 2</w:t>
      </w:r>
      <w:r w:rsidR="00195448" w:rsidRPr="00815B3E">
        <w:rPr>
          <w:rFonts w:eastAsia="Calibri" w:cs="Times New Roman"/>
          <w:bCs/>
          <w:color w:val="000000" w:themeColor="text1"/>
          <w:szCs w:val="24"/>
        </w:rPr>
        <w:t>1</w:t>
      </w:r>
      <w:r w:rsidR="00AE0619" w:rsidRPr="00815B3E">
        <w:rPr>
          <w:rFonts w:eastAsia="Calibri" w:cs="Times New Roman"/>
          <w:bCs/>
          <w:color w:val="000000" w:themeColor="text1"/>
          <w:szCs w:val="24"/>
        </w:rPr>
        <w:t xml:space="preserve">0 mio. kr. ved indkomstårets udløb, </w:t>
      </w:r>
      <w:r w:rsidRPr="00815B3E">
        <w:rPr>
          <w:rFonts w:eastAsia="Calibri" w:cs="Times New Roman"/>
          <w:bCs/>
          <w:color w:val="000000" w:themeColor="text1"/>
          <w:szCs w:val="24"/>
        </w:rPr>
        <w:t xml:space="preserve">så kan der opgøres en fortjeneste på 10 mio. kr., som skal medregnes </w:t>
      </w:r>
      <w:r w:rsidR="004A572F">
        <w:rPr>
          <w:rFonts w:eastAsia="Calibri" w:cs="Times New Roman"/>
          <w:bCs/>
          <w:color w:val="000000" w:themeColor="text1"/>
          <w:szCs w:val="24"/>
        </w:rPr>
        <w:t>ved opgørelsen af</w:t>
      </w:r>
      <w:r w:rsidR="004A572F" w:rsidRPr="00815B3E">
        <w:rPr>
          <w:rFonts w:eastAsia="Calibri" w:cs="Times New Roman"/>
          <w:bCs/>
          <w:color w:val="000000" w:themeColor="text1"/>
          <w:szCs w:val="24"/>
        </w:rPr>
        <w:t xml:space="preserve"> </w:t>
      </w:r>
      <w:r w:rsidR="00AE0619" w:rsidRPr="00815B3E">
        <w:rPr>
          <w:rFonts w:eastAsia="Calibri" w:cs="Times New Roman"/>
          <w:bCs/>
          <w:color w:val="000000" w:themeColor="text1"/>
          <w:szCs w:val="24"/>
        </w:rPr>
        <w:t xml:space="preserve">den skattepligtige </w:t>
      </w:r>
      <w:r w:rsidRPr="00815B3E">
        <w:rPr>
          <w:rFonts w:eastAsia="Calibri" w:cs="Times New Roman"/>
          <w:bCs/>
          <w:color w:val="000000" w:themeColor="text1"/>
          <w:szCs w:val="24"/>
        </w:rPr>
        <w:t>indkomst for det pågældende indkomstår</w:t>
      </w:r>
      <w:r w:rsidR="00AE0619" w:rsidRPr="00815B3E">
        <w:rPr>
          <w:rFonts w:eastAsia="Calibri" w:cs="Times New Roman"/>
          <w:bCs/>
          <w:color w:val="000000" w:themeColor="text1"/>
          <w:szCs w:val="24"/>
        </w:rPr>
        <w:t xml:space="preserve">. </w:t>
      </w:r>
    </w:p>
    <w:p w14:paraId="2A5C3366" w14:textId="6E5D6F2F" w:rsidR="002B00D8" w:rsidRPr="00815B3E" w:rsidRDefault="006B381E" w:rsidP="00AE0619">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Den foreslåede bestemmelse i </w:t>
      </w:r>
      <w:r w:rsidR="009C3102" w:rsidRPr="00815B3E">
        <w:rPr>
          <w:rFonts w:eastAsia="Calibri" w:cs="Times New Roman"/>
          <w:bCs/>
          <w:color w:val="000000" w:themeColor="text1"/>
          <w:szCs w:val="24"/>
        </w:rPr>
        <w:t>ejendomsavancebeskatningsloven</w:t>
      </w:r>
      <w:r w:rsidRPr="00815B3E">
        <w:rPr>
          <w:rFonts w:eastAsia="Calibri" w:cs="Times New Roman"/>
          <w:bCs/>
          <w:color w:val="000000" w:themeColor="text1"/>
          <w:szCs w:val="24"/>
        </w:rPr>
        <w:t xml:space="preserve"> § 14 A, stk. 1, 1. pkt., </w:t>
      </w:r>
      <w:r w:rsidR="00D63314" w:rsidRPr="00815B3E">
        <w:rPr>
          <w:rFonts w:eastAsia="Calibri" w:cs="Times New Roman"/>
          <w:bCs/>
          <w:color w:val="000000" w:themeColor="text1"/>
          <w:szCs w:val="24"/>
        </w:rPr>
        <w:t xml:space="preserve">vil </w:t>
      </w:r>
      <w:r w:rsidR="002B00D8" w:rsidRPr="00815B3E">
        <w:rPr>
          <w:rFonts w:eastAsia="Calibri" w:cs="Times New Roman"/>
          <w:bCs/>
          <w:color w:val="000000" w:themeColor="text1"/>
          <w:szCs w:val="24"/>
        </w:rPr>
        <w:t xml:space="preserve">finde anvendelse for ejendomme, som den skattepligtige </w:t>
      </w:r>
      <w:r w:rsidR="00D63314" w:rsidRPr="00815B3E">
        <w:rPr>
          <w:rFonts w:eastAsia="Calibri" w:cs="Times New Roman"/>
          <w:bCs/>
          <w:color w:val="000000" w:themeColor="text1"/>
          <w:szCs w:val="24"/>
        </w:rPr>
        <w:t xml:space="preserve">ejer både </w:t>
      </w:r>
      <w:r w:rsidR="002B00D8" w:rsidRPr="00815B3E">
        <w:rPr>
          <w:rFonts w:eastAsia="Calibri" w:cs="Times New Roman"/>
          <w:bCs/>
          <w:color w:val="000000" w:themeColor="text1"/>
          <w:szCs w:val="24"/>
        </w:rPr>
        <w:t>ved begyndelsen og udløbet af indkomståret</w:t>
      </w:r>
      <w:r w:rsidR="00AC397F">
        <w:rPr>
          <w:rFonts w:eastAsia="Calibri" w:cs="Times New Roman"/>
          <w:bCs/>
          <w:color w:val="000000" w:themeColor="text1"/>
          <w:szCs w:val="24"/>
        </w:rPr>
        <w:t>, og som omfattes af den foreslåede lagerbeskatning</w:t>
      </w:r>
      <w:r w:rsidR="002B00D8" w:rsidRPr="00815B3E">
        <w:rPr>
          <w:rFonts w:eastAsia="Calibri" w:cs="Times New Roman"/>
          <w:bCs/>
          <w:color w:val="000000" w:themeColor="text1"/>
          <w:szCs w:val="24"/>
        </w:rPr>
        <w:t>.</w:t>
      </w:r>
    </w:p>
    <w:p w14:paraId="79D47775" w14:textId="42E25113" w:rsidR="00D63314" w:rsidRPr="00815B3E" w:rsidRDefault="002B00D8" w:rsidP="00AE0619">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Bestemmelsen </w:t>
      </w:r>
      <w:r w:rsidR="006B381E" w:rsidRPr="00815B3E">
        <w:rPr>
          <w:rFonts w:eastAsia="Calibri" w:cs="Times New Roman"/>
          <w:bCs/>
          <w:color w:val="000000" w:themeColor="text1"/>
          <w:szCs w:val="24"/>
        </w:rPr>
        <w:t>vil</w:t>
      </w:r>
      <w:r w:rsidR="00885F00" w:rsidRPr="00815B3E">
        <w:rPr>
          <w:rFonts w:eastAsia="Calibri" w:cs="Times New Roman"/>
          <w:bCs/>
          <w:color w:val="000000" w:themeColor="text1"/>
          <w:szCs w:val="24"/>
        </w:rPr>
        <w:t xml:space="preserve"> også</w:t>
      </w:r>
      <w:r w:rsidR="00AC397F">
        <w:rPr>
          <w:rFonts w:eastAsia="Calibri" w:cs="Times New Roman"/>
          <w:bCs/>
          <w:color w:val="000000" w:themeColor="text1"/>
          <w:szCs w:val="24"/>
        </w:rPr>
        <w:t xml:space="preserve"> omfatte</w:t>
      </w:r>
      <w:r w:rsidR="00885F00" w:rsidRPr="00815B3E">
        <w:rPr>
          <w:rFonts w:eastAsia="Calibri" w:cs="Times New Roman"/>
          <w:bCs/>
          <w:color w:val="000000" w:themeColor="text1"/>
          <w:szCs w:val="24"/>
        </w:rPr>
        <w:t xml:space="preserve"> </w:t>
      </w:r>
      <w:r w:rsidR="006B381E" w:rsidRPr="00815B3E">
        <w:rPr>
          <w:rFonts w:eastAsia="Calibri" w:cs="Times New Roman"/>
          <w:bCs/>
          <w:color w:val="000000" w:themeColor="text1"/>
          <w:szCs w:val="24"/>
        </w:rPr>
        <w:t xml:space="preserve">ejendomme, der </w:t>
      </w:r>
      <w:r w:rsidR="00885F00" w:rsidRPr="00815B3E">
        <w:rPr>
          <w:rFonts w:eastAsia="Calibri" w:cs="Times New Roman"/>
          <w:bCs/>
          <w:color w:val="000000" w:themeColor="text1"/>
          <w:szCs w:val="24"/>
        </w:rPr>
        <w:t>i løbet af indkomståret</w:t>
      </w:r>
      <w:r w:rsidR="006B381E" w:rsidRPr="00815B3E">
        <w:rPr>
          <w:rFonts w:eastAsia="Calibri" w:cs="Times New Roman"/>
          <w:bCs/>
          <w:color w:val="000000" w:themeColor="text1"/>
          <w:szCs w:val="24"/>
        </w:rPr>
        <w:t xml:space="preserve"> har ændret status </w:t>
      </w:r>
      <w:r w:rsidR="00F35F3D">
        <w:rPr>
          <w:rFonts w:eastAsia="Calibri" w:cs="Times New Roman"/>
          <w:bCs/>
          <w:color w:val="000000" w:themeColor="text1"/>
          <w:szCs w:val="24"/>
        </w:rPr>
        <w:t xml:space="preserve">med </w:t>
      </w:r>
      <w:r w:rsidR="00885F00" w:rsidRPr="00815B3E">
        <w:rPr>
          <w:rFonts w:eastAsia="Calibri" w:cs="Times New Roman"/>
          <w:bCs/>
          <w:color w:val="000000" w:themeColor="text1"/>
          <w:szCs w:val="24"/>
        </w:rPr>
        <w:t>den virkning, at ejendommen omfattes af den foreslåede lagerbeskatning</w:t>
      </w:r>
      <w:r w:rsidR="003449F2" w:rsidRPr="00815B3E">
        <w:rPr>
          <w:rFonts w:eastAsia="Calibri" w:cs="Times New Roman"/>
          <w:bCs/>
          <w:color w:val="000000" w:themeColor="text1"/>
          <w:szCs w:val="24"/>
        </w:rPr>
        <w:t xml:space="preserve">. </w:t>
      </w:r>
      <w:r w:rsidR="00885F00" w:rsidRPr="00815B3E">
        <w:rPr>
          <w:rFonts w:eastAsia="Calibri" w:cs="Times New Roman"/>
          <w:bCs/>
          <w:color w:val="000000" w:themeColor="text1"/>
          <w:szCs w:val="24"/>
        </w:rPr>
        <w:t xml:space="preserve">Det skyldes, at en sådan ejendom efter den foreslåede § 14 B, stk. 1, i </w:t>
      </w:r>
      <w:r w:rsidR="009C3102" w:rsidRPr="00815B3E">
        <w:rPr>
          <w:rFonts w:eastAsia="Calibri" w:cs="Times New Roman"/>
          <w:bCs/>
          <w:color w:val="000000" w:themeColor="text1"/>
          <w:szCs w:val="24"/>
        </w:rPr>
        <w:t>ejendomsavancebeskatningsloven</w:t>
      </w:r>
      <w:r w:rsidR="00885F00" w:rsidRPr="00815B3E">
        <w:rPr>
          <w:rFonts w:eastAsia="Calibri" w:cs="Times New Roman"/>
          <w:bCs/>
          <w:color w:val="000000" w:themeColor="text1"/>
          <w:szCs w:val="24"/>
        </w:rPr>
        <w:t xml:space="preserve"> skal anses for overgået til lagerbeskatning med virkning fra begyndelsen af indkomståret. </w:t>
      </w:r>
    </w:p>
    <w:p w14:paraId="70FD1DAA" w14:textId="7F4D0BCF" w:rsidR="006B381E" w:rsidRPr="00815B3E" w:rsidRDefault="00885F00" w:rsidP="00AE0619">
      <w:pPr>
        <w:spacing w:after="240"/>
        <w:rPr>
          <w:rFonts w:eastAsia="Calibri" w:cs="Times New Roman"/>
          <w:bCs/>
          <w:color w:val="000000" w:themeColor="text1"/>
          <w:szCs w:val="24"/>
        </w:rPr>
      </w:pPr>
      <w:r w:rsidRPr="00815B3E">
        <w:rPr>
          <w:rFonts w:eastAsia="Calibri" w:cs="Times New Roman"/>
          <w:bCs/>
          <w:color w:val="000000" w:themeColor="text1"/>
          <w:szCs w:val="24"/>
        </w:rPr>
        <w:t>Dermed omfattes ejendom</w:t>
      </w:r>
      <w:r w:rsidR="002B00D8" w:rsidRPr="00815B3E">
        <w:rPr>
          <w:rFonts w:eastAsia="Calibri" w:cs="Times New Roman"/>
          <w:bCs/>
          <w:color w:val="000000" w:themeColor="text1"/>
          <w:szCs w:val="24"/>
        </w:rPr>
        <w:t>me</w:t>
      </w:r>
      <w:r w:rsidRPr="00815B3E">
        <w:rPr>
          <w:rFonts w:eastAsia="Calibri" w:cs="Times New Roman"/>
          <w:bCs/>
          <w:color w:val="000000" w:themeColor="text1"/>
          <w:szCs w:val="24"/>
        </w:rPr>
        <w:t xml:space="preserve">, der har ændret status, også af den foreslåede bestemmelse i </w:t>
      </w:r>
      <w:r w:rsidR="009C3102" w:rsidRPr="00815B3E">
        <w:rPr>
          <w:rFonts w:eastAsia="Calibri" w:cs="Times New Roman"/>
          <w:bCs/>
          <w:color w:val="000000" w:themeColor="text1"/>
          <w:szCs w:val="24"/>
        </w:rPr>
        <w:t>ejendomsavancebeskatningsloven</w:t>
      </w:r>
      <w:r w:rsidRPr="00815B3E">
        <w:rPr>
          <w:rFonts w:eastAsia="Calibri" w:cs="Times New Roman"/>
          <w:bCs/>
          <w:color w:val="000000" w:themeColor="text1"/>
          <w:szCs w:val="24"/>
        </w:rPr>
        <w:t xml:space="preserve"> § 14 A, stk. 1, 1. pkt., hvorefter fortjeneste og tab opgøres som forskellen mellem </w:t>
      </w:r>
      <w:r w:rsidR="002B00D8" w:rsidRPr="00815B3E">
        <w:rPr>
          <w:rFonts w:eastAsia="Calibri" w:cs="Times New Roman"/>
          <w:bCs/>
          <w:color w:val="000000" w:themeColor="text1"/>
          <w:szCs w:val="24"/>
        </w:rPr>
        <w:t xml:space="preserve">ejendommens </w:t>
      </w:r>
      <w:r w:rsidRPr="00815B3E">
        <w:rPr>
          <w:rFonts w:eastAsia="Calibri" w:cs="Times New Roman"/>
          <w:bCs/>
          <w:color w:val="000000" w:themeColor="text1"/>
          <w:szCs w:val="24"/>
        </w:rPr>
        <w:t xml:space="preserve">handelsværdi ved indkomstårets udløb og handelsværdien ved indkomstårets begyndelse.  </w:t>
      </w:r>
    </w:p>
    <w:p w14:paraId="7FE6F477" w14:textId="6289962F" w:rsidR="002B00D8" w:rsidRPr="00815B3E" w:rsidRDefault="00191601" w:rsidP="00170154">
      <w:pPr>
        <w:rPr>
          <w:rFonts w:eastAsia="Calibri" w:cs="Times New Roman"/>
          <w:bCs/>
          <w:color w:val="000000" w:themeColor="text1"/>
          <w:szCs w:val="24"/>
        </w:rPr>
      </w:pPr>
      <w:r w:rsidRPr="00815B3E">
        <w:rPr>
          <w:rFonts w:eastAsia="Calibri" w:cs="Times New Roman"/>
          <w:bCs/>
          <w:color w:val="000000" w:themeColor="text1"/>
          <w:szCs w:val="24"/>
        </w:rPr>
        <w:t>Det forudsættes således med den foreslåede bestemmelse, at den skattepligtige hvert år foretager en opgørelse af handelsværdien af de ejendomme, der omfattes af den foreslåede lagerbeskatning</w:t>
      </w:r>
      <w:r w:rsidR="002B00D8" w:rsidRPr="00815B3E">
        <w:rPr>
          <w:rFonts w:eastAsia="Calibri" w:cs="Times New Roman"/>
          <w:bCs/>
          <w:color w:val="000000" w:themeColor="text1"/>
          <w:szCs w:val="24"/>
        </w:rPr>
        <w:t xml:space="preserve"> ved begyndelsen og ved udløbet af indkomståret</w:t>
      </w:r>
      <w:r w:rsidRPr="00815B3E">
        <w:rPr>
          <w:rFonts w:eastAsia="Calibri" w:cs="Times New Roman"/>
          <w:bCs/>
          <w:color w:val="000000" w:themeColor="text1"/>
          <w:szCs w:val="24"/>
        </w:rPr>
        <w:t xml:space="preserve">. </w:t>
      </w:r>
      <w:r w:rsidR="002B00D8" w:rsidRPr="00815B3E">
        <w:rPr>
          <w:rFonts w:eastAsia="Calibri" w:cs="Times New Roman"/>
          <w:bCs/>
          <w:color w:val="000000" w:themeColor="text1"/>
          <w:szCs w:val="24"/>
        </w:rPr>
        <w:t xml:space="preserve">Ved opgørelse af handelsværdien ved begyndelsen af indkomståret anvendes værdiansættelsen af ejendommen ved udløbet af det forudgående indkomstår. For et selskab med kalenderårsregnskab vil handelsværdien pr. 31. december 2022 således </w:t>
      </w:r>
      <w:r w:rsidR="00F35F3D">
        <w:rPr>
          <w:rFonts w:eastAsia="Calibri" w:cs="Times New Roman"/>
          <w:bCs/>
          <w:color w:val="000000" w:themeColor="text1"/>
          <w:szCs w:val="24"/>
        </w:rPr>
        <w:t>skulle</w:t>
      </w:r>
      <w:r w:rsidR="00C0632F">
        <w:rPr>
          <w:rFonts w:eastAsia="Calibri" w:cs="Times New Roman"/>
          <w:bCs/>
          <w:color w:val="000000" w:themeColor="text1"/>
          <w:szCs w:val="24"/>
        </w:rPr>
        <w:t xml:space="preserve"> </w:t>
      </w:r>
      <w:r w:rsidR="002B00D8" w:rsidRPr="00815B3E">
        <w:rPr>
          <w:rFonts w:eastAsia="Calibri" w:cs="Times New Roman"/>
          <w:bCs/>
          <w:color w:val="000000" w:themeColor="text1"/>
          <w:szCs w:val="24"/>
        </w:rPr>
        <w:t>anven</w:t>
      </w:r>
      <w:r w:rsidR="003268C9" w:rsidRPr="00815B3E">
        <w:rPr>
          <w:rFonts w:eastAsia="Calibri" w:cs="Times New Roman"/>
          <w:bCs/>
          <w:color w:val="000000" w:themeColor="text1"/>
          <w:szCs w:val="24"/>
        </w:rPr>
        <w:t>d</w:t>
      </w:r>
      <w:r w:rsidR="002B00D8" w:rsidRPr="00815B3E">
        <w:rPr>
          <w:rFonts w:eastAsia="Calibri" w:cs="Times New Roman"/>
          <w:bCs/>
          <w:color w:val="000000" w:themeColor="text1"/>
          <w:szCs w:val="24"/>
        </w:rPr>
        <w:t>es som handelsværdi pr. 1. januar 2023.</w:t>
      </w:r>
    </w:p>
    <w:p w14:paraId="03C18524" w14:textId="77777777" w:rsidR="002B00D8" w:rsidRPr="00815B3E" w:rsidRDefault="002B00D8" w:rsidP="00170154">
      <w:pPr>
        <w:rPr>
          <w:rFonts w:eastAsia="Calibri" w:cs="Times New Roman"/>
          <w:bCs/>
          <w:color w:val="000000" w:themeColor="text1"/>
          <w:szCs w:val="24"/>
        </w:rPr>
      </w:pPr>
    </w:p>
    <w:p w14:paraId="18BC3F54" w14:textId="7B9DAC77" w:rsidR="006B381E" w:rsidRPr="00815B3E" w:rsidRDefault="00AE0619" w:rsidP="00170154">
      <w:pPr>
        <w:rPr>
          <w:rFonts w:eastAsia="Calibri" w:cs="Times New Roman"/>
          <w:bCs/>
          <w:color w:val="000000" w:themeColor="text1"/>
          <w:szCs w:val="24"/>
        </w:rPr>
      </w:pPr>
      <w:r w:rsidRPr="00815B3E">
        <w:rPr>
          <w:rFonts w:eastAsia="Calibri" w:cs="Times New Roman"/>
          <w:bCs/>
          <w:color w:val="000000" w:themeColor="text1"/>
          <w:szCs w:val="24"/>
        </w:rPr>
        <w:lastRenderedPageBreak/>
        <w:t>Ved handelsværdien forstås det beløb, som aktivet vil kunne indbringe ved salg i det åbne marked</w:t>
      </w:r>
      <w:r w:rsidR="00170154" w:rsidRPr="00815B3E">
        <w:rPr>
          <w:rFonts w:eastAsia="Calibri" w:cs="Times New Roman"/>
          <w:bCs/>
          <w:color w:val="000000" w:themeColor="text1"/>
          <w:szCs w:val="24"/>
        </w:rPr>
        <w:t xml:space="preserve">. </w:t>
      </w:r>
    </w:p>
    <w:p w14:paraId="284AFCE9" w14:textId="77777777" w:rsidR="00724C76" w:rsidRPr="00815B3E" w:rsidRDefault="00724C76" w:rsidP="00170154">
      <w:pPr>
        <w:rPr>
          <w:rFonts w:eastAsia="Calibri" w:cs="Times New Roman"/>
          <w:bCs/>
          <w:color w:val="000000" w:themeColor="text1"/>
          <w:szCs w:val="24"/>
        </w:rPr>
      </w:pPr>
    </w:p>
    <w:p w14:paraId="6CE0C5F6" w14:textId="0D9658DC" w:rsidR="00724C76" w:rsidRPr="00815B3E" w:rsidRDefault="00170154" w:rsidP="00A306C0">
      <w:pPr>
        <w:rPr>
          <w:rFonts w:eastAsia="Calibri" w:cs="Times New Roman"/>
          <w:bCs/>
          <w:color w:val="000000" w:themeColor="text1"/>
          <w:szCs w:val="24"/>
        </w:rPr>
      </w:pPr>
      <w:r w:rsidRPr="00815B3E">
        <w:rPr>
          <w:rFonts w:eastAsia="Calibri" w:cs="Times New Roman"/>
          <w:bCs/>
          <w:color w:val="000000" w:themeColor="text1"/>
          <w:szCs w:val="24"/>
        </w:rPr>
        <w:t xml:space="preserve">Mange ejendomsselskaber </w:t>
      </w:r>
      <w:r w:rsidR="00BD5C74" w:rsidRPr="00815B3E">
        <w:rPr>
          <w:rFonts w:eastAsia="Calibri" w:cs="Times New Roman"/>
          <w:bCs/>
          <w:color w:val="000000" w:themeColor="text1"/>
          <w:szCs w:val="24"/>
        </w:rPr>
        <w:t>opgør allerede</w:t>
      </w:r>
      <w:r w:rsidRPr="00815B3E">
        <w:rPr>
          <w:rFonts w:eastAsia="Calibri" w:cs="Times New Roman"/>
          <w:bCs/>
          <w:color w:val="000000" w:themeColor="text1"/>
          <w:szCs w:val="24"/>
        </w:rPr>
        <w:t xml:space="preserve"> i dag handelsværdien (dagsværdien) af deres ejendomme til brug for regnskabsaflæggelsen</w:t>
      </w:r>
      <w:r w:rsidR="00191601" w:rsidRPr="00815B3E">
        <w:rPr>
          <w:rFonts w:eastAsia="Calibri" w:cs="Times New Roman"/>
          <w:bCs/>
          <w:color w:val="000000" w:themeColor="text1"/>
          <w:szCs w:val="24"/>
        </w:rPr>
        <w:t xml:space="preserve">, jf. </w:t>
      </w:r>
      <w:r w:rsidRPr="00815B3E">
        <w:rPr>
          <w:rFonts w:eastAsia="Calibri" w:cs="Times New Roman"/>
          <w:bCs/>
          <w:color w:val="000000" w:themeColor="text1"/>
          <w:szCs w:val="24"/>
        </w:rPr>
        <w:t xml:space="preserve">årsregnskabslovens § 38 stk. 1, som </w:t>
      </w:r>
      <w:r w:rsidR="00191601" w:rsidRPr="00815B3E">
        <w:rPr>
          <w:rFonts w:eastAsia="Calibri" w:cs="Times New Roman"/>
          <w:bCs/>
          <w:color w:val="000000" w:themeColor="text1"/>
          <w:szCs w:val="24"/>
        </w:rPr>
        <w:t>omhandler den regn</w:t>
      </w:r>
      <w:r w:rsidR="00724C76" w:rsidRPr="00815B3E">
        <w:rPr>
          <w:rFonts w:eastAsia="Calibri" w:cs="Times New Roman"/>
          <w:bCs/>
          <w:color w:val="000000" w:themeColor="text1"/>
          <w:szCs w:val="24"/>
        </w:rPr>
        <w:t>skabs</w:t>
      </w:r>
      <w:r w:rsidR="00191601" w:rsidRPr="00815B3E">
        <w:rPr>
          <w:rFonts w:eastAsia="Calibri" w:cs="Times New Roman"/>
          <w:bCs/>
          <w:color w:val="000000" w:themeColor="text1"/>
          <w:szCs w:val="24"/>
        </w:rPr>
        <w:t xml:space="preserve">mæssige opgørelse af </w:t>
      </w:r>
      <w:r w:rsidRPr="00815B3E">
        <w:rPr>
          <w:rFonts w:eastAsia="Calibri" w:cs="Times New Roman"/>
          <w:bCs/>
          <w:color w:val="000000" w:themeColor="text1"/>
          <w:szCs w:val="24"/>
        </w:rPr>
        <w:t xml:space="preserve">investeringsejendomme til dagsværdi. </w:t>
      </w:r>
    </w:p>
    <w:p w14:paraId="47DD981E" w14:textId="77777777" w:rsidR="00724C76" w:rsidRPr="00815B3E" w:rsidRDefault="00724C76" w:rsidP="00A306C0">
      <w:pPr>
        <w:rPr>
          <w:rFonts w:eastAsia="Calibri" w:cs="Times New Roman"/>
          <w:bCs/>
          <w:color w:val="000000" w:themeColor="text1"/>
          <w:szCs w:val="24"/>
        </w:rPr>
      </w:pPr>
    </w:p>
    <w:p w14:paraId="33889973" w14:textId="2C4BDFCC" w:rsidR="00170154" w:rsidRPr="00815B3E" w:rsidRDefault="00873119" w:rsidP="00A306C0">
      <w:pPr>
        <w:rPr>
          <w:rFonts w:eastAsia="Calibri" w:cs="Times New Roman"/>
          <w:bCs/>
          <w:color w:val="000000" w:themeColor="text1"/>
          <w:szCs w:val="24"/>
        </w:rPr>
      </w:pPr>
      <w:r>
        <w:rPr>
          <w:rFonts w:eastAsia="Calibri" w:cs="Times New Roman"/>
          <w:bCs/>
          <w:color w:val="000000" w:themeColor="text1"/>
          <w:szCs w:val="24"/>
        </w:rPr>
        <w:t>Ved</w:t>
      </w:r>
      <w:r w:rsidR="00A306C0" w:rsidRPr="00815B3E">
        <w:rPr>
          <w:rFonts w:eastAsia="Calibri" w:cs="Times New Roman"/>
          <w:bCs/>
          <w:color w:val="000000" w:themeColor="text1"/>
          <w:szCs w:val="24"/>
        </w:rPr>
        <w:t xml:space="preserve"> lov nr. 117 af 28. januar 2015 </w:t>
      </w:r>
      <w:r>
        <w:rPr>
          <w:rFonts w:eastAsia="Calibri" w:cs="Times New Roman"/>
          <w:bCs/>
          <w:color w:val="000000" w:themeColor="text1"/>
          <w:szCs w:val="24"/>
        </w:rPr>
        <w:t>blev der foretaget</w:t>
      </w:r>
      <w:r w:rsidR="00A306C0" w:rsidRPr="00815B3E">
        <w:rPr>
          <w:rFonts w:eastAsia="Calibri" w:cs="Times New Roman"/>
          <w:bCs/>
          <w:color w:val="000000" w:themeColor="text1"/>
          <w:szCs w:val="24"/>
        </w:rPr>
        <w:t xml:space="preserve"> ændringer </w:t>
      </w:r>
      <w:r>
        <w:rPr>
          <w:rFonts w:eastAsia="Calibri" w:cs="Times New Roman"/>
          <w:bCs/>
          <w:color w:val="000000" w:themeColor="text1"/>
          <w:szCs w:val="24"/>
        </w:rPr>
        <w:t>til årsregnskabslovens</w:t>
      </w:r>
      <w:r w:rsidR="00A306C0" w:rsidRPr="00815B3E">
        <w:rPr>
          <w:rFonts w:eastAsia="Calibri" w:cs="Times New Roman"/>
          <w:bCs/>
          <w:color w:val="000000" w:themeColor="text1"/>
          <w:szCs w:val="24"/>
        </w:rPr>
        <w:t xml:space="preserve"> § 38, stk. 1, </w:t>
      </w:r>
      <w:r>
        <w:rPr>
          <w:rFonts w:eastAsia="Calibri" w:cs="Times New Roman"/>
          <w:bCs/>
          <w:color w:val="000000" w:themeColor="text1"/>
          <w:szCs w:val="24"/>
        </w:rPr>
        <w:t>med</w:t>
      </w:r>
      <w:r w:rsidR="00A306C0" w:rsidRPr="00815B3E">
        <w:rPr>
          <w:rFonts w:eastAsia="Calibri" w:cs="Times New Roman"/>
          <w:bCs/>
          <w:color w:val="000000" w:themeColor="text1"/>
          <w:szCs w:val="24"/>
        </w:rPr>
        <w:t xml:space="preserve"> et ønske om at tilpasse anvendelsen af dagsværdi til de internationale regnskabsstandarder IFRS</w:t>
      </w:r>
      <w:r w:rsidR="00164FF6">
        <w:rPr>
          <w:rFonts w:eastAsia="Calibri" w:cs="Times New Roman"/>
          <w:bCs/>
          <w:color w:val="000000" w:themeColor="text1"/>
          <w:szCs w:val="24"/>
        </w:rPr>
        <w:t xml:space="preserve"> (International Financial Reporting Standards)</w:t>
      </w:r>
      <w:r w:rsidR="00A306C0" w:rsidRPr="00815B3E">
        <w:rPr>
          <w:rFonts w:eastAsia="Calibri" w:cs="Times New Roman"/>
          <w:bCs/>
          <w:color w:val="000000" w:themeColor="text1"/>
          <w:szCs w:val="24"/>
        </w:rPr>
        <w:t xml:space="preserve"> og IAS</w:t>
      </w:r>
      <w:r w:rsidR="00164FF6">
        <w:rPr>
          <w:rFonts w:eastAsia="Calibri" w:cs="Times New Roman"/>
          <w:bCs/>
          <w:color w:val="000000" w:themeColor="text1"/>
          <w:szCs w:val="24"/>
        </w:rPr>
        <w:t xml:space="preserve"> (International Accounting Standards)</w:t>
      </w:r>
      <w:r w:rsidR="00A306C0" w:rsidRPr="00815B3E">
        <w:rPr>
          <w:rFonts w:eastAsia="Calibri" w:cs="Times New Roman"/>
          <w:bCs/>
          <w:color w:val="000000" w:themeColor="text1"/>
          <w:szCs w:val="24"/>
        </w:rPr>
        <w:t>.</w:t>
      </w:r>
    </w:p>
    <w:p w14:paraId="48C70339" w14:textId="15D37448" w:rsidR="00A306C0" w:rsidRPr="00815B3E" w:rsidRDefault="00A306C0" w:rsidP="00A306C0">
      <w:pPr>
        <w:rPr>
          <w:rFonts w:eastAsia="Calibri" w:cs="Times New Roman"/>
          <w:bCs/>
          <w:color w:val="000000" w:themeColor="text1"/>
          <w:szCs w:val="24"/>
        </w:rPr>
      </w:pPr>
    </w:p>
    <w:p w14:paraId="1C4C854F" w14:textId="73093C9D" w:rsidR="00A306C0" w:rsidRPr="00815B3E" w:rsidRDefault="00A306C0" w:rsidP="00A306C0">
      <w:pPr>
        <w:rPr>
          <w:rFonts w:eastAsia="Calibri" w:cs="Times New Roman"/>
          <w:bCs/>
          <w:color w:val="000000" w:themeColor="text1"/>
          <w:szCs w:val="24"/>
        </w:rPr>
      </w:pPr>
      <w:r w:rsidRPr="00815B3E">
        <w:rPr>
          <w:rFonts w:eastAsia="Calibri" w:cs="Times New Roman"/>
          <w:bCs/>
          <w:color w:val="000000" w:themeColor="text1"/>
          <w:szCs w:val="24"/>
        </w:rPr>
        <w:t xml:space="preserve">Det fremgår af bemærkningerne, at </w:t>
      </w:r>
      <w:r w:rsidR="00F35F3D">
        <w:rPr>
          <w:rFonts w:eastAsia="Calibri" w:cs="Times New Roman"/>
          <w:bCs/>
          <w:color w:val="000000" w:themeColor="text1"/>
          <w:szCs w:val="24"/>
        </w:rPr>
        <w:t>bestemmelsen i årsregnskabslovens</w:t>
      </w:r>
      <w:r w:rsidR="00F35F3D" w:rsidRPr="00815B3E">
        <w:rPr>
          <w:rFonts w:eastAsia="Calibri" w:cs="Times New Roman"/>
          <w:bCs/>
          <w:color w:val="000000" w:themeColor="text1"/>
          <w:szCs w:val="24"/>
        </w:rPr>
        <w:t xml:space="preserve"> </w:t>
      </w:r>
      <w:r w:rsidRPr="00815B3E">
        <w:rPr>
          <w:rFonts w:eastAsia="Calibri" w:cs="Times New Roman"/>
          <w:bCs/>
          <w:color w:val="000000" w:themeColor="text1"/>
          <w:szCs w:val="24"/>
        </w:rPr>
        <w:t>§ 38, stk. 1, er en rammebestemmelse, som fortolkes i overensstemmelse med IAS 40</w:t>
      </w:r>
      <w:r w:rsidR="000D42EF">
        <w:rPr>
          <w:rFonts w:eastAsia="Calibri" w:cs="Times New Roman"/>
          <w:bCs/>
          <w:color w:val="000000" w:themeColor="text1"/>
          <w:szCs w:val="24"/>
        </w:rPr>
        <w:t>, jf. Folketingstidende samling 2014-15 (1. samling) lovforslag L 117 – tillæg A</w:t>
      </w:r>
      <w:r w:rsidRPr="00815B3E">
        <w:rPr>
          <w:rFonts w:eastAsia="Calibri" w:cs="Times New Roman"/>
          <w:bCs/>
          <w:color w:val="000000" w:themeColor="text1"/>
          <w:szCs w:val="24"/>
        </w:rPr>
        <w:t>. IAS 40 indeholder mere detaljerede regler om investeringsejendomme, herunder bl.a. definitioner af, hvad der kan anses for investeringsejendomme, hvordan ejendomme</w:t>
      </w:r>
      <w:r w:rsidR="00F35F3D" w:rsidRPr="00F35F3D">
        <w:rPr>
          <w:rFonts w:eastAsia="Calibri" w:cs="Times New Roman"/>
          <w:bCs/>
          <w:color w:val="000000" w:themeColor="text1"/>
          <w:szCs w:val="24"/>
        </w:rPr>
        <w:t xml:space="preserve"> </w:t>
      </w:r>
      <w:r w:rsidR="00F35F3D" w:rsidRPr="00AA527C">
        <w:rPr>
          <w:rFonts w:eastAsia="Calibri" w:cs="Times New Roman"/>
          <w:bCs/>
          <w:color w:val="000000" w:themeColor="text1"/>
          <w:szCs w:val="24"/>
        </w:rPr>
        <w:t>klassificeres som investeringsejendomme</w:t>
      </w:r>
      <w:r w:rsidR="00F35F3D">
        <w:rPr>
          <w:rFonts w:eastAsia="Calibri" w:cs="Times New Roman"/>
          <w:bCs/>
          <w:color w:val="000000" w:themeColor="text1"/>
          <w:szCs w:val="24"/>
        </w:rPr>
        <w:t>. Der indgår endvidere bestemmelser om</w:t>
      </w:r>
      <w:r w:rsidR="00F35F3D" w:rsidRPr="00AA527C">
        <w:rPr>
          <w:rFonts w:eastAsia="Calibri" w:cs="Times New Roman"/>
          <w:bCs/>
          <w:color w:val="000000" w:themeColor="text1"/>
          <w:szCs w:val="24"/>
        </w:rPr>
        <w:t>,</w:t>
      </w:r>
      <w:r w:rsidRPr="00815B3E">
        <w:rPr>
          <w:rFonts w:eastAsia="Calibri" w:cs="Times New Roman"/>
          <w:bCs/>
          <w:color w:val="000000" w:themeColor="text1"/>
          <w:szCs w:val="24"/>
        </w:rPr>
        <w:t xml:space="preserve"> hvordan man skal forholde sig, hvis der ikke kan beregnes en pålidelig dagsværdi. Hvordan dagsværdien på investeringsejendommene skal beregnes, skal fortolkes i overensstemmelse med den internationale regnskabsstandard, IFRS 13. IFRS 13 indeholder konkret vejledning til, hvilke modeller </w:t>
      </w:r>
      <w:r w:rsidR="00F35F3D">
        <w:rPr>
          <w:rFonts w:eastAsia="Calibri" w:cs="Times New Roman"/>
          <w:bCs/>
          <w:color w:val="000000" w:themeColor="text1"/>
          <w:szCs w:val="24"/>
        </w:rPr>
        <w:t>der</w:t>
      </w:r>
      <w:r w:rsidR="00F35F3D" w:rsidRPr="00815B3E">
        <w:rPr>
          <w:rFonts w:eastAsia="Calibri" w:cs="Times New Roman"/>
          <w:bCs/>
          <w:color w:val="000000" w:themeColor="text1"/>
          <w:szCs w:val="24"/>
        </w:rPr>
        <w:t xml:space="preserve"> </w:t>
      </w:r>
      <w:r w:rsidRPr="00815B3E">
        <w:rPr>
          <w:rFonts w:eastAsia="Calibri" w:cs="Times New Roman"/>
          <w:bCs/>
          <w:color w:val="000000" w:themeColor="text1"/>
          <w:szCs w:val="24"/>
        </w:rPr>
        <w:t xml:space="preserve">kan anvendes ved beregningen af dagsværdien på investeringsejendomme og andre aktiver, som </w:t>
      </w:r>
      <w:r w:rsidR="00F35F3D">
        <w:rPr>
          <w:rFonts w:eastAsia="Calibri" w:cs="Times New Roman"/>
          <w:bCs/>
          <w:color w:val="000000" w:themeColor="text1"/>
          <w:szCs w:val="24"/>
        </w:rPr>
        <w:t>værdiansættes</w:t>
      </w:r>
      <w:r w:rsidR="00F35F3D" w:rsidRPr="00815B3E">
        <w:rPr>
          <w:rFonts w:eastAsia="Calibri" w:cs="Times New Roman"/>
          <w:bCs/>
          <w:color w:val="000000" w:themeColor="text1"/>
          <w:szCs w:val="24"/>
        </w:rPr>
        <w:t xml:space="preserve"> </w:t>
      </w:r>
      <w:r w:rsidRPr="00815B3E">
        <w:rPr>
          <w:rFonts w:eastAsia="Calibri" w:cs="Times New Roman"/>
          <w:bCs/>
          <w:color w:val="000000" w:themeColor="text1"/>
          <w:szCs w:val="24"/>
        </w:rPr>
        <w:t>til dagsværdi.</w:t>
      </w:r>
    </w:p>
    <w:p w14:paraId="65AA574D" w14:textId="77777777" w:rsidR="00A306C0" w:rsidRPr="00815B3E" w:rsidRDefault="00A306C0" w:rsidP="00A306C0">
      <w:pPr>
        <w:rPr>
          <w:rFonts w:eastAsia="Calibri" w:cs="Times New Roman"/>
          <w:bCs/>
          <w:color w:val="000000" w:themeColor="text1"/>
          <w:szCs w:val="24"/>
        </w:rPr>
      </w:pPr>
    </w:p>
    <w:p w14:paraId="6C20A813" w14:textId="0DB1B613" w:rsidR="00A306C0" w:rsidRPr="00815B3E" w:rsidRDefault="00A306C0" w:rsidP="00A306C0">
      <w:pPr>
        <w:rPr>
          <w:rFonts w:eastAsia="Calibri" w:cs="Times New Roman"/>
          <w:bCs/>
          <w:color w:val="000000" w:themeColor="text1"/>
          <w:szCs w:val="24"/>
        </w:rPr>
      </w:pPr>
      <w:r w:rsidRPr="00815B3E">
        <w:rPr>
          <w:rFonts w:eastAsia="Calibri" w:cs="Times New Roman"/>
          <w:bCs/>
          <w:color w:val="000000" w:themeColor="text1"/>
          <w:szCs w:val="24"/>
        </w:rPr>
        <w:t xml:space="preserve">Det er ledelsen i virksomheden, som har ansvaret for, at dagsværdien </w:t>
      </w:r>
      <w:r w:rsidR="00F35F3D">
        <w:rPr>
          <w:rFonts w:eastAsia="Calibri" w:cs="Times New Roman"/>
          <w:bCs/>
          <w:color w:val="000000" w:themeColor="text1"/>
          <w:szCs w:val="24"/>
        </w:rPr>
        <w:t>værdiansættes</w:t>
      </w:r>
      <w:r w:rsidR="00F35F3D" w:rsidRPr="00815B3E">
        <w:rPr>
          <w:rFonts w:eastAsia="Calibri" w:cs="Times New Roman"/>
          <w:bCs/>
          <w:color w:val="000000" w:themeColor="text1"/>
          <w:szCs w:val="24"/>
        </w:rPr>
        <w:t xml:space="preserve"> </w:t>
      </w:r>
      <w:r w:rsidRPr="00815B3E">
        <w:rPr>
          <w:rFonts w:eastAsia="Calibri" w:cs="Times New Roman"/>
          <w:bCs/>
          <w:color w:val="000000" w:themeColor="text1"/>
          <w:szCs w:val="24"/>
        </w:rPr>
        <w:t>pålideligt</w:t>
      </w:r>
      <w:r w:rsidR="00F523FA" w:rsidRPr="00815B3E">
        <w:rPr>
          <w:rFonts w:eastAsia="Calibri" w:cs="Times New Roman"/>
          <w:bCs/>
          <w:color w:val="000000" w:themeColor="text1"/>
          <w:szCs w:val="24"/>
        </w:rPr>
        <w:t xml:space="preserve"> til brug for regnskabet</w:t>
      </w:r>
      <w:r w:rsidRPr="00815B3E">
        <w:rPr>
          <w:rFonts w:eastAsia="Calibri" w:cs="Times New Roman"/>
          <w:bCs/>
          <w:color w:val="000000" w:themeColor="text1"/>
          <w:szCs w:val="24"/>
        </w:rPr>
        <w:t xml:space="preserve">. Ledelsen kan anvende ekstern bistand fra eksempelvis en valuar i forbindelse med </w:t>
      </w:r>
      <w:r w:rsidR="00F35F3D">
        <w:rPr>
          <w:rFonts w:eastAsia="Calibri" w:cs="Times New Roman"/>
          <w:bCs/>
          <w:color w:val="000000" w:themeColor="text1"/>
          <w:szCs w:val="24"/>
        </w:rPr>
        <w:t>værdiansættelsen</w:t>
      </w:r>
      <w:r w:rsidRPr="00815B3E">
        <w:rPr>
          <w:rFonts w:eastAsia="Calibri" w:cs="Times New Roman"/>
          <w:bCs/>
          <w:color w:val="000000" w:themeColor="text1"/>
          <w:szCs w:val="24"/>
        </w:rPr>
        <w:t>. Dette fritager dog ikke ledelsen for dens selvstændige ansvar for at vurdere dagsværdien og de forudsætninger, som ligger til grund for beregningen.</w:t>
      </w:r>
    </w:p>
    <w:p w14:paraId="5F51A481" w14:textId="77777777" w:rsidR="00170154" w:rsidRPr="00815B3E" w:rsidRDefault="00170154" w:rsidP="00170154">
      <w:pPr>
        <w:rPr>
          <w:rFonts w:eastAsia="Calibri" w:cs="Times New Roman"/>
          <w:bCs/>
          <w:color w:val="000000" w:themeColor="text1"/>
          <w:szCs w:val="24"/>
        </w:rPr>
      </w:pPr>
    </w:p>
    <w:p w14:paraId="3872FC65" w14:textId="45E3F735" w:rsidR="00724C76" w:rsidRPr="00815B3E" w:rsidRDefault="00170154" w:rsidP="00170154">
      <w:pPr>
        <w:rPr>
          <w:rFonts w:eastAsia="Calibri" w:cs="Times New Roman"/>
          <w:bCs/>
          <w:color w:val="000000" w:themeColor="text1"/>
          <w:szCs w:val="24"/>
        </w:rPr>
      </w:pPr>
      <w:r w:rsidRPr="00815B3E">
        <w:rPr>
          <w:rFonts w:eastAsia="Calibri" w:cs="Times New Roman"/>
          <w:bCs/>
          <w:color w:val="000000" w:themeColor="text1"/>
          <w:szCs w:val="24"/>
        </w:rPr>
        <w:t xml:space="preserve">Dermed kan den værdi, der anvendes i den skattepligtiges årsregnskab </w:t>
      </w:r>
      <w:r w:rsidR="00724C76" w:rsidRPr="00815B3E">
        <w:rPr>
          <w:rFonts w:eastAsia="Calibri" w:cs="Times New Roman"/>
          <w:bCs/>
          <w:color w:val="000000" w:themeColor="text1"/>
          <w:szCs w:val="24"/>
        </w:rPr>
        <w:t>som udtryk for dagsværdien</w:t>
      </w:r>
      <w:r w:rsidR="00F35F3D">
        <w:rPr>
          <w:rFonts w:eastAsia="Calibri" w:cs="Times New Roman"/>
          <w:bCs/>
          <w:color w:val="000000" w:themeColor="text1"/>
          <w:szCs w:val="24"/>
        </w:rPr>
        <w:t>,</w:t>
      </w:r>
      <w:r w:rsidR="00724C76" w:rsidRPr="00815B3E">
        <w:rPr>
          <w:rFonts w:eastAsia="Calibri" w:cs="Times New Roman"/>
          <w:bCs/>
          <w:color w:val="000000" w:themeColor="text1"/>
          <w:szCs w:val="24"/>
        </w:rPr>
        <w:t xml:space="preserve"> </w:t>
      </w:r>
      <w:r w:rsidRPr="00815B3E">
        <w:rPr>
          <w:rFonts w:eastAsia="Calibri" w:cs="Times New Roman"/>
          <w:bCs/>
          <w:color w:val="000000" w:themeColor="text1"/>
          <w:szCs w:val="24"/>
        </w:rPr>
        <w:t xml:space="preserve">være et godt udgangspunkt for </w:t>
      </w:r>
      <w:r w:rsidR="00724C76" w:rsidRPr="00815B3E">
        <w:rPr>
          <w:rFonts w:eastAsia="Calibri" w:cs="Times New Roman"/>
          <w:bCs/>
          <w:color w:val="000000" w:themeColor="text1"/>
          <w:szCs w:val="24"/>
        </w:rPr>
        <w:t>opgørelsen af ejendommens værdi efter de foreslåede regler i</w:t>
      </w:r>
      <w:r w:rsidR="00A306C0" w:rsidRPr="00815B3E">
        <w:rPr>
          <w:rFonts w:eastAsia="Calibri" w:cs="Times New Roman"/>
          <w:bCs/>
          <w:color w:val="000000" w:themeColor="text1"/>
          <w:szCs w:val="24"/>
        </w:rPr>
        <w:t xml:space="preserve"> ejendomsavance</w:t>
      </w:r>
      <w:r w:rsidR="00724C76" w:rsidRPr="00815B3E">
        <w:rPr>
          <w:rFonts w:eastAsia="Calibri" w:cs="Times New Roman"/>
          <w:bCs/>
          <w:color w:val="000000" w:themeColor="text1"/>
          <w:szCs w:val="24"/>
        </w:rPr>
        <w:t>beskatningsloven om lagerbeskatning.</w:t>
      </w:r>
      <w:r w:rsidR="00F523FA" w:rsidRPr="00815B3E">
        <w:rPr>
          <w:rFonts w:eastAsia="Calibri" w:cs="Times New Roman"/>
          <w:bCs/>
          <w:color w:val="000000" w:themeColor="text1"/>
          <w:szCs w:val="24"/>
        </w:rPr>
        <w:t xml:space="preserve"> </w:t>
      </w:r>
    </w:p>
    <w:p w14:paraId="532A9C0E" w14:textId="77777777" w:rsidR="00724C76" w:rsidRPr="00815B3E" w:rsidRDefault="00724C76" w:rsidP="00170154">
      <w:pPr>
        <w:rPr>
          <w:rFonts w:eastAsia="Calibri" w:cs="Times New Roman"/>
          <w:bCs/>
          <w:color w:val="000000" w:themeColor="text1"/>
          <w:szCs w:val="24"/>
        </w:rPr>
      </w:pPr>
    </w:p>
    <w:p w14:paraId="36FB3E49" w14:textId="30E38537" w:rsidR="00146E45" w:rsidRPr="00815B3E" w:rsidRDefault="00146E45" w:rsidP="00170154">
      <w:pPr>
        <w:rPr>
          <w:rFonts w:eastAsia="Calibri" w:cs="Times New Roman"/>
          <w:bCs/>
          <w:color w:val="000000" w:themeColor="text1"/>
          <w:szCs w:val="24"/>
        </w:rPr>
      </w:pPr>
      <w:r w:rsidRPr="00815B3E">
        <w:rPr>
          <w:rFonts w:eastAsia="Calibri" w:cs="Times New Roman"/>
          <w:bCs/>
          <w:color w:val="000000" w:themeColor="text1"/>
          <w:szCs w:val="24"/>
        </w:rPr>
        <w:t xml:space="preserve">Hvis den skattepligtige derimod ikke anvender </w:t>
      </w:r>
      <w:r w:rsidR="00F523FA" w:rsidRPr="00815B3E">
        <w:rPr>
          <w:rFonts w:eastAsia="Calibri" w:cs="Times New Roman"/>
          <w:bCs/>
          <w:color w:val="000000" w:themeColor="text1"/>
          <w:szCs w:val="24"/>
        </w:rPr>
        <w:t>dagsværdien</w:t>
      </w:r>
      <w:r w:rsidRPr="00815B3E">
        <w:rPr>
          <w:rFonts w:eastAsia="Calibri" w:cs="Times New Roman"/>
          <w:bCs/>
          <w:color w:val="000000" w:themeColor="text1"/>
          <w:szCs w:val="24"/>
        </w:rPr>
        <w:t xml:space="preserve"> af ejendommene</w:t>
      </w:r>
      <w:r w:rsidR="00F523FA" w:rsidRPr="00815B3E">
        <w:rPr>
          <w:rFonts w:eastAsia="Calibri" w:cs="Times New Roman"/>
          <w:bCs/>
          <w:color w:val="000000" w:themeColor="text1"/>
          <w:szCs w:val="24"/>
        </w:rPr>
        <w:t xml:space="preserve"> til brug for regnskabsaflæggelsen, </w:t>
      </w:r>
      <w:r w:rsidRPr="00815B3E">
        <w:rPr>
          <w:rFonts w:eastAsia="Calibri" w:cs="Times New Roman"/>
          <w:bCs/>
          <w:color w:val="000000" w:themeColor="text1"/>
          <w:szCs w:val="24"/>
        </w:rPr>
        <w:t xml:space="preserve">vil den skattepligtige efter lovforslaget skulle foretage en opgørelse af ejendommenes handelsværdi til </w:t>
      </w:r>
      <w:r w:rsidRPr="00815B3E">
        <w:rPr>
          <w:rFonts w:eastAsia="Calibri" w:cs="Times New Roman"/>
          <w:bCs/>
          <w:color w:val="000000" w:themeColor="text1"/>
          <w:szCs w:val="24"/>
        </w:rPr>
        <w:lastRenderedPageBreak/>
        <w:t>brug for opgørelse af fortjeneste og tab på ejendommen efter den foreslåede § 14 A, stk. 1</w:t>
      </w:r>
      <w:r w:rsidR="001B3250">
        <w:rPr>
          <w:rFonts w:eastAsia="Calibri" w:cs="Times New Roman"/>
          <w:bCs/>
          <w:color w:val="000000" w:themeColor="text1"/>
          <w:szCs w:val="24"/>
        </w:rPr>
        <w:t>,</w:t>
      </w:r>
      <w:r w:rsidRPr="00815B3E">
        <w:rPr>
          <w:rFonts w:eastAsia="Calibri" w:cs="Times New Roman"/>
          <w:bCs/>
          <w:color w:val="000000" w:themeColor="text1"/>
          <w:szCs w:val="24"/>
        </w:rPr>
        <w:t xml:space="preserve"> i </w:t>
      </w:r>
      <w:r w:rsidR="009C3102" w:rsidRPr="00815B3E">
        <w:rPr>
          <w:rFonts w:eastAsia="Calibri" w:cs="Times New Roman"/>
          <w:bCs/>
          <w:color w:val="000000" w:themeColor="text1"/>
          <w:szCs w:val="24"/>
        </w:rPr>
        <w:t>ejendomsavancebeskatningsloven</w:t>
      </w:r>
      <w:r w:rsidRPr="00815B3E">
        <w:rPr>
          <w:rFonts w:eastAsia="Calibri" w:cs="Times New Roman"/>
          <w:bCs/>
          <w:color w:val="000000" w:themeColor="text1"/>
          <w:szCs w:val="24"/>
        </w:rPr>
        <w:t xml:space="preserve">. </w:t>
      </w:r>
    </w:p>
    <w:p w14:paraId="639F7848" w14:textId="77777777" w:rsidR="00146E45" w:rsidRPr="00815B3E" w:rsidRDefault="00146E45" w:rsidP="00170154">
      <w:pPr>
        <w:rPr>
          <w:rFonts w:eastAsia="Calibri" w:cs="Times New Roman"/>
          <w:bCs/>
          <w:color w:val="000000" w:themeColor="text1"/>
          <w:szCs w:val="24"/>
        </w:rPr>
      </w:pPr>
    </w:p>
    <w:p w14:paraId="4496CDC1" w14:textId="4F8C8908" w:rsidR="00170154" w:rsidRPr="00815B3E" w:rsidRDefault="00F523FA" w:rsidP="00170154">
      <w:pPr>
        <w:rPr>
          <w:rFonts w:eastAsia="Calibri" w:cs="Times New Roman"/>
          <w:bCs/>
          <w:color w:val="000000" w:themeColor="text1"/>
          <w:szCs w:val="24"/>
        </w:rPr>
      </w:pPr>
      <w:r w:rsidRPr="00815B3E">
        <w:rPr>
          <w:rFonts w:eastAsia="Calibri" w:cs="Times New Roman"/>
          <w:bCs/>
          <w:color w:val="000000" w:themeColor="text1"/>
          <w:szCs w:val="24"/>
        </w:rPr>
        <w:t>Der findes forskellige metoder til at estimere en ejendoms handelsværdi</w:t>
      </w:r>
      <w:r w:rsidR="00BD5C74" w:rsidRPr="00815B3E">
        <w:rPr>
          <w:rFonts w:eastAsia="Calibri" w:cs="Times New Roman"/>
          <w:bCs/>
          <w:color w:val="000000" w:themeColor="text1"/>
          <w:szCs w:val="24"/>
        </w:rPr>
        <w:t xml:space="preserve"> i henhold til årsregnskabslovens § 38</w:t>
      </w:r>
      <w:r w:rsidRPr="00815B3E">
        <w:rPr>
          <w:rFonts w:eastAsia="Calibri" w:cs="Times New Roman"/>
          <w:bCs/>
          <w:color w:val="000000" w:themeColor="text1"/>
          <w:szCs w:val="24"/>
        </w:rPr>
        <w:t>.</w:t>
      </w:r>
      <w:r w:rsidR="00BD5C74" w:rsidRPr="00815B3E">
        <w:rPr>
          <w:rFonts w:eastAsia="Calibri" w:cs="Times New Roman"/>
          <w:bCs/>
          <w:color w:val="000000" w:themeColor="text1"/>
          <w:szCs w:val="24"/>
        </w:rPr>
        <w:t xml:space="preserve"> Disse metoder er enten omkostningsbasere</w:t>
      </w:r>
      <w:r w:rsidR="00F35F3D">
        <w:rPr>
          <w:rFonts w:eastAsia="Calibri" w:cs="Times New Roman"/>
          <w:bCs/>
          <w:color w:val="000000" w:themeColor="text1"/>
          <w:szCs w:val="24"/>
        </w:rPr>
        <w:t>de</w:t>
      </w:r>
      <w:r w:rsidR="00BD5C74" w:rsidRPr="00815B3E">
        <w:rPr>
          <w:rFonts w:eastAsia="Calibri" w:cs="Times New Roman"/>
          <w:bCs/>
          <w:color w:val="000000" w:themeColor="text1"/>
          <w:szCs w:val="24"/>
        </w:rPr>
        <w:t>, indkomstbasere</w:t>
      </w:r>
      <w:r w:rsidR="00F35F3D">
        <w:rPr>
          <w:rFonts w:eastAsia="Calibri" w:cs="Times New Roman"/>
          <w:bCs/>
          <w:color w:val="000000" w:themeColor="text1"/>
          <w:szCs w:val="24"/>
        </w:rPr>
        <w:t>de</w:t>
      </w:r>
      <w:r w:rsidR="00BD5C74" w:rsidRPr="00815B3E">
        <w:rPr>
          <w:rFonts w:eastAsia="Calibri" w:cs="Times New Roman"/>
          <w:bCs/>
          <w:color w:val="000000" w:themeColor="text1"/>
          <w:szCs w:val="24"/>
        </w:rPr>
        <w:t xml:space="preserve"> eller markedsbasere</w:t>
      </w:r>
      <w:r w:rsidR="00F35F3D">
        <w:rPr>
          <w:rFonts w:eastAsia="Calibri" w:cs="Times New Roman"/>
          <w:bCs/>
          <w:color w:val="000000" w:themeColor="text1"/>
          <w:szCs w:val="24"/>
        </w:rPr>
        <w:t>de</w:t>
      </w:r>
      <w:r w:rsidR="00BD5C74" w:rsidRPr="00815B3E">
        <w:rPr>
          <w:rFonts w:eastAsia="Calibri" w:cs="Times New Roman"/>
          <w:bCs/>
          <w:color w:val="000000" w:themeColor="text1"/>
          <w:szCs w:val="24"/>
        </w:rPr>
        <w:t xml:space="preserve"> værdiansættelsesmetoder.</w:t>
      </w:r>
    </w:p>
    <w:p w14:paraId="6E1872C0" w14:textId="3AF7108F" w:rsidR="00F523FA" w:rsidRPr="00815B3E" w:rsidRDefault="00F523FA" w:rsidP="00170154">
      <w:pPr>
        <w:rPr>
          <w:rFonts w:eastAsia="Calibri" w:cs="Times New Roman"/>
          <w:bCs/>
          <w:color w:val="000000" w:themeColor="text1"/>
          <w:szCs w:val="24"/>
        </w:rPr>
      </w:pPr>
    </w:p>
    <w:p w14:paraId="2E1D0744" w14:textId="35E96A18" w:rsidR="00F523FA" w:rsidRPr="00815B3E" w:rsidRDefault="00F523FA" w:rsidP="00F523FA">
      <w:pPr>
        <w:spacing w:after="240"/>
        <w:rPr>
          <w:rFonts w:eastAsia="Calibri" w:cs="Times New Roman"/>
          <w:bCs/>
          <w:color w:val="000000" w:themeColor="text1"/>
          <w:szCs w:val="24"/>
        </w:rPr>
      </w:pPr>
      <w:r w:rsidRPr="00815B3E">
        <w:rPr>
          <w:rFonts w:eastAsia="Calibri" w:cs="Times New Roman"/>
          <w:bCs/>
          <w:color w:val="000000" w:themeColor="text1"/>
          <w:szCs w:val="24"/>
        </w:rPr>
        <w:t>Ved en omkostningsbaseret metode forstås</w:t>
      </w:r>
      <w:r w:rsidR="00F35F3D">
        <w:rPr>
          <w:rFonts w:eastAsia="Calibri" w:cs="Times New Roman"/>
          <w:bCs/>
          <w:color w:val="000000" w:themeColor="text1"/>
          <w:szCs w:val="24"/>
        </w:rPr>
        <w:t>, at værdien fastsættes til</w:t>
      </w:r>
      <w:r w:rsidRPr="00815B3E">
        <w:rPr>
          <w:rFonts w:eastAsia="Calibri" w:cs="Times New Roman"/>
          <w:bCs/>
          <w:color w:val="000000" w:themeColor="text1"/>
          <w:szCs w:val="24"/>
        </w:rPr>
        <w:t xml:space="preserve"> det beløb, som det ville kræve, at erstatte eller genskabe den faste ejendom. Det er vurderingen, at det er meget sjældent, at denne metode vil </w:t>
      </w:r>
      <w:r w:rsidR="00F35F3D">
        <w:rPr>
          <w:rFonts w:eastAsia="Calibri" w:cs="Times New Roman"/>
          <w:bCs/>
          <w:color w:val="000000" w:themeColor="text1"/>
          <w:szCs w:val="24"/>
        </w:rPr>
        <w:t>være egnet til at fastsætte</w:t>
      </w:r>
      <w:r w:rsidRPr="00815B3E">
        <w:rPr>
          <w:rFonts w:eastAsia="Calibri" w:cs="Times New Roman"/>
          <w:bCs/>
          <w:color w:val="000000" w:themeColor="text1"/>
          <w:szCs w:val="24"/>
        </w:rPr>
        <w:t xml:space="preserve"> den</w:t>
      </w:r>
      <w:r w:rsidR="00BD5C74" w:rsidRPr="00815B3E">
        <w:rPr>
          <w:rFonts w:eastAsia="Calibri" w:cs="Times New Roman"/>
          <w:bCs/>
          <w:color w:val="000000" w:themeColor="text1"/>
          <w:szCs w:val="24"/>
        </w:rPr>
        <w:t xml:space="preserve"> faste</w:t>
      </w:r>
      <w:r w:rsidRPr="00815B3E">
        <w:rPr>
          <w:rFonts w:eastAsia="Calibri" w:cs="Times New Roman"/>
          <w:bCs/>
          <w:color w:val="000000" w:themeColor="text1"/>
          <w:szCs w:val="24"/>
        </w:rPr>
        <w:t xml:space="preserve"> ejendom</w:t>
      </w:r>
      <w:r w:rsidR="001B3250">
        <w:rPr>
          <w:rFonts w:eastAsia="Calibri" w:cs="Times New Roman"/>
          <w:bCs/>
          <w:color w:val="000000" w:themeColor="text1"/>
          <w:szCs w:val="24"/>
        </w:rPr>
        <w:t>s</w:t>
      </w:r>
      <w:r w:rsidRPr="00815B3E">
        <w:rPr>
          <w:rFonts w:eastAsia="Calibri" w:cs="Times New Roman"/>
          <w:bCs/>
          <w:color w:val="000000" w:themeColor="text1"/>
          <w:szCs w:val="24"/>
        </w:rPr>
        <w:t xml:space="preserve"> skattemæssige handelsværdi, og særlige forhold </w:t>
      </w:r>
      <w:r w:rsidR="00F35F3D">
        <w:rPr>
          <w:rFonts w:eastAsia="Calibri" w:cs="Times New Roman"/>
          <w:bCs/>
          <w:color w:val="000000" w:themeColor="text1"/>
          <w:szCs w:val="24"/>
        </w:rPr>
        <w:t>bør</w:t>
      </w:r>
      <w:r w:rsidRPr="00815B3E">
        <w:rPr>
          <w:rFonts w:eastAsia="Calibri" w:cs="Times New Roman"/>
          <w:bCs/>
          <w:color w:val="000000" w:themeColor="text1"/>
          <w:szCs w:val="24"/>
        </w:rPr>
        <w:t xml:space="preserve"> tale for anvendelsen heraf. </w:t>
      </w:r>
      <w:r w:rsidR="00BD5C74" w:rsidRPr="00815B3E">
        <w:rPr>
          <w:rFonts w:eastAsia="Calibri" w:cs="Times New Roman"/>
          <w:bCs/>
          <w:color w:val="000000" w:themeColor="text1"/>
          <w:szCs w:val="24"/>
        </w:rPr>
        <w:t xml:space="preserve">Dette skyldes primært, at de ejendomme, der foreslås omfattet af de foreslåede </w:t>
      </w:r>
      <w:r w:rsidR="00F35F3D">
        <w:rPr>
          <w:rFonts w:eastAsia="Calibri" w:cs="Times New Roman"/>
          <w:bCs/>
          <w:color w:val="000000" w:themeColor="text1"/>
          <w:szCs w:val="24"/>
        </w:rPr>
        <w:t>regler om lagerbeskatning</w:t>
      </w:r>
      <w:r w:rsidR="001B3250">
        <w:rPr>
          <w:rFonts w:eastAsia="Calibri" w:cs="Times New Roman"/>
          <w:bCs/>
          <w:color w:val="000000" w:themeColor="text1"/>
          <w:szCs w:val="24"/>
        </w:rPr>
        <w:t>,</w:t>
      </w:r>
      <w:r w:rsidR="00BD5C74" w:rsidRPr="00815B3E">
        <w:rPr>
          <w:rFonts w:eastAsia="Calibri" w:cs="Times New Roman"/>
          <w:bCs/>
          <w:color w:val="000000" w:themeColor="text1"/>
          <w:szCs w:val="24"/>
        </w:rPr>
        <w:t xml:space="preserve"> er udlejningsejendomme. </w:t>
      </w:r>
      <w:r w:rsidRPr="00815B3E">
        <w:rPr>
          <w:rFonts w:eastAsia="Calibri" w:cs="Times New Roman"/>
          <w:bCs/>
          <w:color w:val="000000" w:themeColor="text1"/>
          <w:szCs w:val="24"/>
        </w:rPr>
        <w:t>Derudover vurderes det, at denne metode kun er relevant, såfremt den indkomstbaserede eller markedsbaserede metode ikke kan finde anvendelse.</w:t>
      </w:r>
    </w:p>
    <w:p w14:paraId="2AAC8669" w14:textId="75D55971" w:rsidR="00F523FA" w:rsidRPr="00815B3E" w:rsidRDefault="00F523FA" w:rsidP="00F523FA">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Ved en indkomstbaseret metode vil værdien </w:t>
      </w:r>
      <w:r w:rsidR="00F35F3D">
        <w:rPr>
          <w:rFonts w:eastAsia="Calibri" w:cs="Times New Roman"/>
          <w:bCs/>
          <w:color w:val="000000" w:themeColor="text1"/>
          <w:szCs w:val="24"/>
        </w:rPr>
        <w:t>blive fastsat</w:t>
      </w:r>
      <w:r w:rsidRPr="00815B3E">
        <w:rPr>
          <w:rFonts w:eastAsia="Calibri" w:cs="Times New Roman"/>
          <w:bCs/>
          <w:color w:val="000000" w:themeColor="text1"/>
          <w:szCs w:val="24"/>
        </w:rPr>
        <w:t xml:space="preserve"> på baggrund af den faste ejendoms fremtidige potentielle indtjeningsgrundlag tilbagediskonteret til nutidsværdi. Et eksempel herpå kunne være en såkaldt </w:t>
      </w:r>
      <w:proofErr w:type="spellStart"/>
      <w:r w:rsidRPr="00815B3E">
        <w:rPr>
          <w:rFonts w:eastAsia="Calibri" w:cs="Times New Roman"/>
          <w:bCs/>
          <w:color w:val="000000" w:themeColor="text1"/>
          <w:szCs w:val="24"/>
        </w:rPr>
        <w:t>Discounted</w:t>
      </w:r>
      <w:proofErr w:type="spellEnd"/>
      <w:r w:rsidRPr="00815B3E">
        <w:rPr>
          <w:rFonts w:eastAsia="Calibri" w:cs="Times New Roman"/>
          <w:bCs/>
          <w:color w:val="000000" w:themeColor="text1"/>
          <w:szCs w:val="24"/>
        </w:rPr>
        <w:t xml:space="preserve"> Cash Flow model (DCF-model). DCF-modellen anvendes ofte af ejendomsinvestorer</w:t>
      </w:r>
      <w:r w:rsidR="0089721D">
        <w:rPr>
          <w:rFonts w:eastAsia="Calibri" w:cs="Times New Roman"/>
          <w:bCs/>
          <w:color w:val="000000" w:themeColor="text1"/>
          <w:szCs w:val="24"/>
        </w:rPr>
        <w:t>.</w:t>
      </w:r>
      <w:r w:rsidRPr="00815B3E">
        <w:rPr>
          <w:rFonts w:eastAsia="Calibri" w:cs="Times New Roman"/>
          <w:bCs/>
          <w:color w:val="000000" w:themeColor="text1"/>
          <w:szCs w:val="24"/>
        </w:rPr>
        <w:t xml:space="preserve"> Den anvendes ligeledes af valuarer </w:t>
      </w:r>
      <w:r w:rsidR="0089721D">
        <w:rPr>
          <w:rFonts w:eastAsia="Calibri" w:cs="Times New Roman"/>
          <w:bCs/>
          <w:color w:val="000000" w:themeColor="text1"/>
          <w:szCs w:val="24"/>
        </w:rPr>
        <w:t>ved</w:t>
      </w:r>
      <w:r w:rsidRPr="00815B3E">
        <w:rPr>
          <w:rFonts w:eastAsia="Calibri" w:cs="Times New Roman"/>
          <w:bCs/>
          <w:color w:val="000000" w:themeColor="text1"/>
          <w:szCs w:val="24"/>
        </w:rPr>
        <w:t xml:space="preserve"> vurdering af ejendomme ejet af andelsboligforeninger, når disse skal vurderes som en udlejningsejendom</w:t>
      </w:r>
      <w:r w:rsidR="001B3250">
        <w:rPr>
          <w:rFonts w:eastAsia="Calibri" w:cs="Times New Roman"/>
          <w:bCs/>
          <w:color w:val="000000" w:themeColor="text1"/>
          <w:szCs w:val="24"/>
        </w:rPr>
        <w:t>,</w:t>
      </w:r>
      <w:r w:rsidRPr="00815B3E">
        <w:rPr>
          <w:rFonts w:eastAsia="Calibri" w:cs="Times New Roman"/>
          <w:bCs/>
          <w:color w:val="000000" w:themeColor="text1"/>
          <w:szCs w:val="24"/>
        </w:rPr>
        <w:t xml:space="preserve"> jf.</w:t>
      </w:r>
      <w:r w:rsidR="004A572F">
        <w:rPr>
          <w:rFonts w:eastAsia="Calibri" w:cs="Times New Roman"/>
          <w:bCs/>
          <w:color w:val="000000" w:themeColor="text1"/>
          <w:szCs w:val="24"/>
        </w:rPr>
        <w:t xml:space="preserve"> § 6</w:t>
      </w:r>
      <w:r w:rsidRPr="00815B3E">
        <w:rPr>
          <w:rFonts w:eastAsia="Calibri" w:cs="Times New Roman"/>
          <w:bCs/>
          <w:color w:val="000000" w:themeColor="text1"/>
          <w:szCs w:val="24"/>
        </w:rPr>
        <w:t xml:space="preserve"> </w:t>
      </w:r>
      <w:r w:rsidR="0089721D">
        <w:rPr>
          <w:rFonts w:eastAsia="Calibri" w:cs="Times New Roman"/>
          <w:bCs/>
          <w:color w:val="000000" w:themeColor="text1"/>
          <w:szCs w:val="24"/>
        </w:rPr>
        <w:t>b</w:t>
      </w:r>
      <w:r w:rsidR="0089721D" w:rsidRPr="00AA527C">
        <w:rPr>
          <w:rFonts w:eastAsia="Calibri" w:cs="Times New Roman"/>
          <w:bCs/>
          <w:color w:val="000000" w:themeColor="text1"/>
          <w:szCs w:val="24"/>
        </w:rPr>
        <w:t xml:space="preserve">ekendtgørelse </w:t>
      </w:r>
      <w:r w:rsidR="0089721D">
        <w:rPr>
          <w:rFonts w:eastAsia="Calibri" w:cs="Times New Roman"/>
          <w:bCs/>
          <w:color w:val="000000" w:themeColor="text1"/>
          <w:szCs w:val="24"/>
        </w:rPr>
        <w:t>nr. 978 af 28. juni 2018</w:t>
      </w:r>
      <w:r w:rsidR="0089721D" w:rsidRPr="00AA527C">
        <w:rPr>
          <w:rFonts w:eastAsia="Calibri" w:cs="Times New Roman"/>
          <w:bCs/>
          <w:color w:val="000000" w:themeColor="text1"/>
          <w:szCs w:val="24"/>
        </w:rPr>
        <w:t xml:space="preserve"> </w:t>
      </w:r>
      <w:r w:rsidRPr="00815B3E">
        <w:rPr>
          <w:rFonts w:eastAsia="Calibri" w:cs="Times New Roman"/>
          <w:bCs/>
          <w:color w:val="000000" w:themeColor="text1"/>
          <w:szCs w:val="24"/>
        </w:rPr>
        <w:t xml:space="preserve">om vurdering af ejendomme tilhørende private andelsboligforeninger ved </w:t>
      </w:r>
      <w:proofErr w:type="gramStart"/>
      <w:r w:rsidRPr="00815B3E">
        <w:rPr>
          <w:rFonts w:eastAsia="Calibri" w:cs="Times New Roman"/>
          <w:bCs/>
          <w:color w:val="000000" w:themeColor="text1"/>
          <w:szCs w:val="24"/>
        </w:rPr>
        <w:t>valuar</w:t>
      </w:r>
      <w:r w:rsidR="004A572F">
        <w:rPr>
          <w:rFonts w:eastAsia="Calibri" w:cs="Times New Roman"/>
          <w:bCs/>
          <w:color w:val="000000" w:themeColor="text1"/>
          <w:szCs w:val="24"/>
        </w:rPr>
        <w:t>.</w:t>
      </w:r>
      <w:r w:rsidRPr="00815B3E">
        <w:rPr>
          <w:rFonts w:eastAsia="Calibri" w:cs="Times New Roman"/>
          <w:bCs/>
          <w:color w:val="000000" w:themeColor="text1"/>
          <w:szCs w:val="24"/>
        </w:rPr>
        <w:t>.</w:t>
      </w:r>
      <w:proofErr w:type="gramEnd"/>
    </w:p>
    <w:p w14:paraId="37AD214B" w14:textId="14D53712" w:rsidR="00F523FA" w:rsidRPr="00815B3E" w:rsidRDefault="00F523FA" w:rsidP="00F523FA">
      <w:pPr>
        <w:spacing w:after="240"/>
        <w:rPr>
          <w:rFonts w:eastAsia="Calibri" w:cs="Times New Roman"/>
          <w:bCs/>
          <w:color w:val="000000" w:themeColor="text1"/>
          <w:szCs w:val="24"/>
        </w:rPr>
      </w:pPr>
      <w:r w:rsidRPr="00815B3E">
        <w:rPr>
          <w:rFonts w:eastAsia="Calibri" w:cs="Times New Roman"/>
          <w:bCs/>
          <w:color w:val="000000" w:themeColor="text1"/>
          <w:szCs w:val="24"/>
        </w:rPr>
        <w:t>Den markedsbaserede metode baserer værdi</w:t>
      </w:r>
      <w:r w:rsidR="0089721D">
        <w:rPr>
          <w:rFonts w:eastAsia="Calibri" w:cs="Times New Roman"/>
          <w:bCs/>
          <w:color w:val="000000" w:themeColor="text1"/>
          <w:szCs w:val="24"/>
        </w:rPr>
        <w:t>fastsættelsen</w:t>
      </w:r>
      <w:r w:rsidRPr="00815B3E">
        <w:rPr>
          <w:rFonts w:eastAsia="Calibri" w:cs="Times New Roman"/>
          <w:bCs/>
          <w:color w:val="000000" w:themeColor="text1"/>
          <w:szCs w:val="24"/>
        </w:rPr>
        <w:t xml:space="preserve"> på sammenlignelige salgspriser i markedet for sammenlignelige ejendomme</w:t>
      </w:r>
      <w:r w:rsidR="00BD5C74" w:rsidRPr="00815B3E">
        <w:rPr>
          <w:rFonts w:eastAsia="Calibri" w:cs="Times New Roman"/>
          <w:bCs/>
          <w:color w:val="000000" w:themeColor="text1"/>
          <w:szCs w:val="24"/>
        </w:rPr>
        <w:t>.</w:t>
      </w:r>
      <w:r w:rsidRPr="00815B3E">
        <w:rPr>
          <w:rFonts w:eastAsia="Calibri" w:cs="Times New Roman"/>
          <w:bCs/>
          <w:color w:val="000000" w:themeColor="text1"/>
          <w:szCs w:val="24"/>
        </w:rPr>
        <w:t xml:space="preserve"> </w:t>
      </w:r>
      <w:r w:rsidR="00BD5C74" w:rsidRPr="00815B3E">
        <w:rPr>
          <w:rFonts w:eastAsia="Calibri" w:cs="Times New Roman"/>
          <w:bCs/>
          <w:color w:val="000000" w:themeColor="text1"/>
          <w:szCs w:val="24"/>
        </w:rPr>
        <w:t>Metoden</w:t>
      </w:r>
      <w:r w:rsidRPr="00815B3E">
        <w:rPr>
          <w:rFonts w:eastAsia="Calibri" w:cs="Times New Roman"/>
          <w:bCs/>
          <w:color w:val="000000" w:themeColor="text1"/>
          <w:szCs w:val="24"/>
        </w:rPr>
        <w:t xml:space="preserve"> kræver</w:t>
      </w:r>
      <w:r w:rsidR="001B3250">
        <w:rPr>
          <w:rFonts w:eastAsia="Calibri" w:cs="Times New Roman"/>
          <w:bCs/>
          <w:color w:val="000000" w:themeColor="text1"/>
          <w:szCs w:val="24"/>
        </w:rPr>
        <w:t>,</w:t>
      </w:r>
      <w:r w:rsidRPr="00815B3E">
        <w:rPr>
          <w:rFonts w:eastAsia="Calibri" w:cs="Times New Roman"/>
          <w:bCs/>
          <w:color w:val="000000" w:themeColor="text1"/>
          <w:szCs w:val="24"/>
        </w:rPr>
        <w:t xml:space="preserve"> </w:t>
      </w:r>
      <w:r w:rsidR="0089721D">
        <w:rPr>
          <w:rFonts w:eastAsia="Calibri" w:cs="Times New Roman"/>
          <w:bCs/>
          <w:color w:val="000000" w:themeColor="text1"/>
          <w:szCs w:val="24"/>
        </w:rPr>
        <w:t>at der reelt er tale om</w:t>
      </w:r>
      <w:r w:rsidR="0089721D" w:rsidRPr="00AA527C">
        <w:rPr>
          <w:rFonts w:eastAsia="Calibri" w:cs="Times New Roman"/>
          <w:bCs/>
          <w:color w:val="000000" w:themeColor="text1"/>
          <w:szCs w:val="24"/>
        </w:rPr>
        <w:t xml:space="preserve"> ejendomme</w:t>
      </w:r>
      <w:r w:rsidR="0089721D">
        <w:rPr>
          <w:rFonts w:eastAsia="Calibri" w:cs="Times New Roman"/>
          <w:bCs/>
          <w:color w:val="000000" w:themeColor="text1"/>
          <w:szCs w:val="24"/>
        </w:rPr>
        <w:t>,</w:t>
      </w:r>
      <w:r w:rsidR="0089721D" w:rsidRPr="00AA527C">
        <w:rPr>
          <w:rFonts w:eastAsia="Calibri" w:cs="Times New Roman"/>
          <w:bCs/>
          <w:color w:val="000000" w:themeColor="text1"/>
          <w:szCs w:val="24"/>
        </w:rPr>
        <w:t xml:space="preserve"> der </w:t>
      </w:r>
      <w:r w:rsidR="0089721D">
        <w:rPr>
          <w:rFonts w:eastAsia="Calibri" w:cs="Times New Roman"/>
          <w:bCs/>
          <w:color w:val="000000" w:themeColor="text1"/>
          <w:szCs w:val="24"/>
        </w:rPr>
        <w:t xml:space="preserve">kan </w:t>
      </w:r>
      <w:r w:rsidR="0089721D" w:rsidRPr="00AA527C">
        <w:rPr>
          <w:rFonts w:eastAsia="Calibri" w:cs="Times New Roman"/>
          <w:bCs/>
          <w:color w:val="000000" w:themeColor="text1"/>
          <w:szCs w:val="24"/>
        </w:rPr>
        <w:t>sammenlignes</w:t>
      </w:r>
      <w:r w:rsidR="0089721D">
        <w:rPr>
          <w:rFonts w:eastAsia="Calibri" w:cs="Times New Roman"/>
          <w:bCs/>
          <w:color w:val="000000" w:themeColor="text1"/>
          <w:szCs w:val="24"/>
        </w:rPr>
        <w:t>. E</w:t>
      </w:r>
      <w:r w:rsidR="0089721D" w:rsidRPr="00AA527C">
        <w:rPr>
          <w:rFonts w:eastAsia="Calibri" w:cs="Times New Roman"/>
          <w:bCs/>
          <w:color w:val="000000" w:themeColor="text1"/>
          <w:szCs w:val="24"/>
        </w:rPr>
        <w:t>jendom</w:t>
      </w:r>
      <w:r w:rsidR="0089721D">
        <w:rPr>
          <w:rFonts w:eastAsia="Calibri" w:cs="Times New Roman"/>
          <w:bCs/>
          <w:color w:val="000000" w:themeColor="text1"/>
          <w:szCs w:val="24"/>
        </w:rPr>
        <w:t>men, der sammenlignes med,</w:t>
      </w:r>
      <w:r w:rsidRPr="00815B3E">
        <w:rPr>
          <w:rFonts w:eastAsia="Calibri" w:cs="Times New Roman"/>
          <w:bCs/>
          <w:color w:val="000000" w:themeColor="text1"/>
          <w:szCs w:val="24"/>
        </w:rPr>
        <w:t xml:space="preserve"> skal således have de samme karakteristika, som den ejendom der værdiansættes</w:t>
      </w:r>
      <w:r w:rsidR="004A572F">
        <w:rPr>
          <w:rFonts w:eastAsia="Calibri" w:cs="Times New Roman"/>
          <w:bCs/>
          <w:color w:val="000000" w:themeColor="text1"/>
          <w:szCs w:val="24"/>
        </w:rPr>
        <w:t>,</w:t>
      </w:r>
      <w:r w:rsidRPr="00815B3E">
        <w:rPr>
          <w:rFonts w:eastAsia="Calibri" w:cs="Times New Roman"/>
          <w:bCs/>
          <w:color w:val="000000" w:themeColor="text1"/>
          <w:szCs w:val="24"/>
        </w:rPr>
        <w:t xml:space="preserve"> på parametre som beliggenhed, stand, størrelse, lejersammensætning og lejers kreditværdighed. Derudover kræver metoden, at en faktisk handel af denne ejendom er forekommet i en periode, hvor de økonomiske omstændigheder er sammenlignelige med tidspunktet for estimeringen af handelsværdien til brug for beskatningen. Har der f.eks. været betydelige udsving i renteniveauet, vil værdien af ejendommen måske ikke længere være sammenlignelig. Det er vurderingen, at det ofte er meget svært at basere værdien alene på en markedsbaseret metode, men at denne med fordel kan udgøre et supplement til f.eks. en DCF-beregning.</w:t>
      </w:r>
    </w:p>
    <w:p w14:paraId="5395678D" w14:textId="158B7ED7" w:rsidR="00AE0619" w:rsidRPr="00815B3E" w:rsidRDefault="00F523FA" w:rsidP="00AE0619">
      <w:pPr>
        <w:spacing w:after="240"/>
        <w:rPr>
          <w:rFonts w:eastAsia="Calibri" w:cs="Times New Roman"/>
          <w:bCs/>
          <w:color w:val="000000" w:themeColor="text1"/>
          <w:szCs w:val="24"/>
        </w:rPr>
      </w:pPr>
      <w:r w:rsidRPr="00815B3E">
        <w:rPr>
          <w:rFonts w:eastAsia="Calibri" w:cs="Times New Roman"/>
          <w:bCs/>
          <w:color w:val="000000" w:themeColor="text1"/>
          <w:szCs w:val="24"/>
        </w:rPr>
        <w:lastRenderedPageBreak/>
        <w:t>Det</w:t>
      </w:r>
      <w:r w:rsidR="0001548C" w:rsidRPr="00815B3E">
        <w:rPr>
          <w:rFonts w:eastAsia="Calibri" w:cs="Times New Roman"/>
          <w:bCs/>
          <w:color w:val="000000" w:themeColor="text1"/>
          <w:szCs w:val="24"/>
        </w:rPr>
        <w:t xml:space="preserve"> vil</w:t>
      </w:r>
      <w:r w:rsidRPr="00815B3E">
        <w:rPr>
          <w:rFonts w:eastAsia="Calibri" w:cs="Times New Roman"/>
          <w:bCs/>
          <w:color w:val="000000" w:themeColor="text1"/>
          <w:szCs w:val="24"/>
        </w:rPr>
        <w:t xml:space="preserve"> dog ikke</w:t>
      </w:r>
      <w:r w:rsidR="0001548C" w:rsidRPr="00815B3E">
        <w:rPr>
          <w:rFonts w:eastAsia="Calibri" w:cs="Times New Roman"/>
          <w:bCs/>
          <w:color w:val="000000" w:themeColor="text1"/>
          <w:szCs w:val="24"/>
        </w:rPr>
        <w:t xml:space="preserve"> være</w:t>
      </w:r>
      <w:r w:rsidRPr="00815B3E">
        <w:rPr>
          <w:rFonts w:eastAsia="Calibri" w:cs="Times New Roman"/>
          <w:bCs/>
          <w:color w:val="000000" w:themeColor="text1"/>
          <w:szCs w:val="24"/>
        </w:rPr>
        <w:t xml:space="preserve"> et krav, at en </w:t>
      </w:r>
      <w:r w:rsidR="00146E45" w:rsidRPr="00815B3E">
        <w:rPr>
          <w:rFonts w:eastAsia="Calibri" w:cs="Times New Roman"/>
          <w:bCs/>
          <w:color w:val="000000" w:themeColor="text1"/>
          <w:szCs w:val="24"/>
        </w:rPr>
        <w:t xml:space="preserve">bestemt </w:t>
      </w:r>
      <w:r w:rsidR="005A6819" w:rsidRPr="00815B3E">
        <w:rPr>
          <w:rFonts w:eastAsia="Calibri" w:cs="Times New Roman"/>
          <w:bCs/>
          <w:color w:val="000000" w:themeColor="text1"/>
          <w:szCs w:val="24"/>
        </w:rPr>
        <w:t>værdiansættelses</w:t>
      </w:r>
      <w:r w:rsidRPr="00815B3E">
        <w:rPr>
          <w:rFonts w:eastAsia="Calibri" w:cs="Times New Roman"/>
          <w:bCs/>
          <w:color w:val="000000" w:themeColor="text1"/>
          <w:szCs w:val="24"/>
        </w:rPr>
        <w:t>metode anvendes</w:t>
      </w:r>
      <w:r w:rsidR="00146E45" w:rsidRPr="00815B3E">
        <w:rPr>
          <w:rFonts w:eastAsia="Calibri" w:cs="Times New Roman"/>
          <w:bCs/>
          <w:color w:val="000000" w:themeColor="text1"/>
          <w:szCs w:val="24"/>
        </w:rPr>
        <w:t xml:space="preserve">, men den metode, der anvendes, skal være anerkendt og korrekt regnskabsmæssigt og føre frem en værdiansættelse, der afspejler </w:t>
      </w:r>
      <w:r w:rsidR="003449F2" w:rsidRPr="00815B3E">
        <w:rPr>
          <w:rFonts w:eastAsia="Calibri" w:cs="Times New Roman"/>
          <w:bCs/>
          <w:color w:val="000000" w:themeColor="text1"/>
          <w:szCs w:val="24"/>
        </w:rPr>
        <w:t xml:space="preserve">den </w:t>
      </w:r>
      <w:r w:rsidR="00146E45" w:rsidRPr="00815B3E">
        <w:rPr>
          <w:rFonts w:eastAsia="Calibri" w:cs="Times New Roman"/>
          <w:bCs/>
          <w:color w:val="000000" w:themeColor="text1"/>
          <w:szCs w:val="24"/>
        </w:rPr>
        <w:t xml:space="preserve">aktuelle handelsværdi af ejendommen. Endvidere </w:t>
      </w:r>
      <w:r w:rsidR="0001548C" w:rsidRPr="00815B3E">
        <w:rPr>
          <w:rFonts w:eastAsia="Calibri" w:cs="Times New Roman"/>
          <w:bCs/>
          <w:color w:val="000000" w:themeColor="text1"/>
          <w:szCs w:val="24"/>
        </w:rPr>
        <w:t>vil den skattepligtige skulle kunne dokumentere</w:t>
      </w:r>
      <w:r w:rsidRPr="00815B3E">
        <w:rPr>
          <w:rFonts w:eastAsia="Calibri" w:cs="Times New Roman"/>
          <w:bCs/>
          <w:color w:val="000000" w:themeColor="text1"/>
          <w:szCs w:val="24"/>
        </w:rPr>
        <w:t xml:space="preserve"> </w:t>
      </w:r>
      <w:r w:rsidR="00BD5C74" w:rsidRPr="00815B3E">
        <w:rPr>
          <w:rFonts w:eastAsia="Calibri" w:cs="Times New Roman"/>
          <w:bCs/>
          <w:color w:val="000000" w:themeColor="text1"/>
          <w:szCs w:val="24"/>
        </w:rPr>
        <w:t xml:space="preserve">grundlaget for </w:t>
      </w:r>
      <w:r w:rsidR="0001548C" w:rsidRPr="00815B3E">
        <w:rPr>
          <w:rFonts w:eastAsia="Calibri" w:cs="Times New Roman"/>
          <w:bCs/>
          <w:color w:val="000000" w:themeColor="text1"/>
          <w:szCs w:val="24"/>
        </w:rPr>
        <w:t xml:space="preserve">den anvendte </w:t>
      </w:r>
      <w:r w:rsidR="00146E45" w:rsidRPr="00815B3E">
        <w:rPr>
          <w:rFonts w:eastAsia="Calibri" w:cs="Times New Roman"/>
          <w:bCs/>
          <w:color w:val="000000" w:themeColor="text1"/>
          <w:szCs w:val="24"/>
        </w:rPr>
        <w:t>værdiansættelse</w:t>
      </w:r>
      <w:r w:rsidRPr="00815B3E">
        <w:rPr>
          <w:rFonts w:eastAsia="Calibri" w:cs="Times New Roman"/>
          <w:bCs/>
          <w:color w:val="000000" w:themeColor="text1"/>
          <w:szCs w:val="24"/>
        </w:rPr>
        <w:t xml:space="preserve">.  </w:t>
      </w:r>
    </w:p>
    <w:p w14:paraId="4FAA6F21" w14:textId="52AE5A1F" w:rsidR="00D534CA" w:rsidRPr="00F37F22" w:rsidRDefault="00D534CA" w:rsidP="00AE0619">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Det foreslås i </w:t>
      </w:r>
      <w:r w:rsidR="009C3102" w:rsidRPr="00815B3E">
        <w:rPr>
          <w:rFonts w:eastAsia="Calibri" w:cs="Times New Roman"/>
          <w:bCs/>
          <w:color w:val="000000" w:themeColor="text1"/>
          <w:szCs w:val="24"/>
        </w:rPr>
        <w:t>ejendomsavancebeskatningsloven</w:t>
      </w:r>
      <w:r w:rsidR="0001548C" w:rsidRPr="00815B3E">
        <w:rPr>
          <w:rFonts w:eastAsia="Calibri" w:cs="Times New Roman"/>
          <w:bCs/>
          <w:color w:val="000000" w:themeColor="text1"/>
          <w:szCs w:val="24"/>
        </w:rPr>
        <w:t xml:space="preserve"> </w:t>
      </w:r>
      <w:r w:rsidRPr="00815B3E">
        <w:rPr>
          <w:rFonts w:eastAsia="Calibri" w:cs="Times New Roman"/>
          <w:bCs/>
          <w:i/>
          <w:iCs/>
          <w:color w:val="000000" w:themeColor="text1"/>
          <w:szCs w:val="24"/>
        </w:rPr>
        <w:t>§ 14 A, stk. 1, 2. pkt.</w:t>
      </w:r>
      <w:r w:rsidR="00F37F22">
        <w:rPr>
          <w:rFonts w:eastAsia="Calibri" w:cs="Times New Roman"/>
          <w:bCs/>
          <w:color w:val="000000" w:themeColor="text1"/>
          <w:szCs w:val="24"/>
        </w:rPr>
        <w:t>,</w:t>
      </w:r>
      <w:r w:rsidRPr="00815B3E">
        <w:rPr>
          <w:rFonts w:eastAsia="Calibri" w:cs="Times New Roman"/>
          <w:bCs/>
          <w:color w:val="000000" w:themeColor="text1"/>
          <w:szCs w:val="24"/>
        </w:rPr>
        <w:t xml:space="preserve"> at h</w:t>
      </w:r>
      <w:r w:rsidR="00AE0619" w:rsidRPr="00815B3E">
        <w:rPr>
          <w:rFonts w:eastAsia="Calibri" w:cs="Times New Roman"/>
          <w:bCs/>
          <w:color w:val="000000" w:themeColor="text1"/>
          <w:szCs w:val="24"/>
        </w:rPr>
        <w:t xml:space="preserve">vis ejendommen er erhvervet i løbet af indkomståret, </w:t>
      </w:r>
      <w:r w:rsidR="004A572F">
        <w:rPr>
          <w:rFonts w:eastAsia="Calibri" w:cs="Times New Roman"/>
          <w:bCs/>
          <w:color w:val="000000" w:themeColor="text1"/>
          <w:szCs w:val="24"/>
        </w:rPr>
        <w:t>skal</w:t>
      </w:r>
      <w:r w:rsidR="00AE0619" w:rsidRPr="00815B3E">
        <w:rPr>
          <w:rFonts w:eastAsia="Calibri" w:cs="Times New Roman"/>
          <w:bCs/>
          <w:color w:val="000000" w:themeColor="text1"/>
          <w:szCs w:val="24"/>
        </w:rPr>
        <w:t xml:space="preserve"> ejendommens anskaffelsessum </w:t>
      </w:r>
      <w:r w:rsidR="004A572F">
        <w:rPr>
          <w:rFonts w:eastAsia="Calibri" w:cs="Times New Roman"/>
          <w:bCs/>
          <w:color w:val="000000" w:themeColor="text1"/>
          <w:szCs w:val="24"/>
        </w:rPr>
        <w:t xml:space="preserve">anvendes </w:t>
      </w:r>
      <w:r w:rsidR="00AE0619" w:rsidRPr="00815B3E">
        <w:rPr>
          <w:rFonts w:eastAsia="Calibri" w:cs="Times New Roman"/>
          <w:bCs/>
          <w:color w:val="000000" w:themeColor="text1"/>
          <w:szCs w:val="24"/>
        </w:rPr>
        <w:t>i stedet for værdien ved indkomstårets begyndelse.</w:t>
      </w:r>
      <w:r w:rsidR="00F37F22">
        <w:rPr>
          <w:rFonts w:eastAsia="Calibri" w:cs="Times New Roman"/>
          <w:bCs/>
          <w:color w:val="000000" w:themeColor="text1"/>
          <w:szCs w:val="24"/>
        </w:rPr>
        <w:t xml:space="preserve"> </w:t>
      </w:r>
    </w:p>
    <w:p w14:paraId="45222CDA" w14:textId="05C43407" w:rsidR="00D534CA" w:rsidRPr="00815B3E" w:rsidRDefault="0001548C" w:rsidP="00AE0619">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Den foreslåede bestemmelse vil indebære, at hvis </w:t>
      </w:r>
      <w:r w:rsidR="00195448" w:rsidRPr="00815B3E">
        <w:rPr>
          <w:rFonts w:eastAsia="Calibri" w:cs="Times New Roman"/>
          <w:bCs/>
          <w:color w:val="000000" w:themeColor="text1"/>
          <w:szCs w:val="24"/>
        </w:rPr>
        <w:t>en skattepligtig</w:t>
      </w:r>
      <w:r w:rsidRPr="00815B3E">
        <w:rPr>
          <w:rFonts w:eastAsia="Calibri" w:cs="Times New Roman"/>
          <w:bCs/>
          <w:color w:val="000000" w:themeColor="text1"/>
          <w:szCs w:val="24"/>
        </w:rPr>
        <w:t xml:space="preserve"> har</w:t>
      </w:r>
      <w:r w:rsidR="00195448" w:rsidRPr="00815B3E">
        <w:rPr>
          <w:rFonts w:eastAsia="Calibri" w:cs="Times New Roman"/>
          <w:bCs/>
          <w:color w:val="000000" w:themeColor="text1"/>
          <w:szCs w:val="24"/>
        </w:rPr>
        <w:t xml:space="preserve"> erhvervet en ejendom </w:t>
      </w:r>
      <w:r w:rsidRPr="00815B3E">
        <w:rPr>
          <w:rFonts w:eastAsia="Calibri" w:cs="Times New Roman"/>
          <w:bCs/>
          <w:color w:val="000000" w:themeColor="text1"/>
          <w:szCs w:val="24"/>
        </w:rPr>
        <w:t>for</w:t>
      </w:r>
      <w:r w:rsidR="00195448" w:rsidRPr="00815B3E">
        <w:rPr>
          <w:rFonts w:eastAsia="Calibri" w:cs="Times New Roman"/>
          <w:bCs/>
          <w:color w:val="000000" w:themeColor="text1"/>
          <w:szCs w:val="24"/>
        </w:rPr>
        <w:t xml:space="preserve"> 200 mio</w:t>
      </w:r>
      <w:r w:rsidR="00DB6E2D" w:rsidRPr="00815B3E">
        <w:rPr>
          <w:rFonts w:eastAsia="Calibri" w:cs="Times New Roman"/>
          <w:bCs/>
          <w:color w:val="000000" w:themeColor="text1"/>
          <w:szCs w:val="24"/>
        </w:rPr>
        <w:t>.</w:t>
      </w:r>
      <w:r w:rsidR="00195448" w:rsidRPr="00815B3E">
        <w:rPr>
          <w:rFonts w:eastAsia="Calibri" w:cs="Times New Roman"/>
          <w:bCs/>
          <w:color w:val="000000" w:themeColor="text1"/>
          <w:szCs w:val="24"/>
        </w:rPr>
        <w:t xml:space="preserve"> kr. </w:t>
      </w:r>
      <w:r w:rsidRPr="00815B3E">
        <w:rPr>
          <w:rFonts w:eastAsia="Calibri" w:cs="Times New Roman"/>
          <w:bCs/>
          <w:color w:val="000000" w:themeColor="text1"/>
          <w:szCs w:val="24"/>
        </w:rPr>
        <w:t>i løbet af indkomståret</w:t>
      </w:r>
      <w:r w:rsidR="00195448" w:rsidRPr="00815B3E">
        <w:rPr>
          <w:rFonts w:eastAsia="Calibri" w:cs="Times New Roman"/>
          <w:bCs/>
          <w:color w:val="000000" w:themeColor="text1"/>
          <w:szCs w:val="24"/>
        </w:rPr>
        <w:t xml:space="preserve">, og </w:t>
      </w:r>
      <w:r w:rsidRPr="00815B3E">
        <w:rPr>
          <w:rFonts w:eastAsia="Calibri" w:cs="Times New Roman"/>
          <w:bCs/>
          <w:color w:val="000000" w:themeColor="text1"/>
          <w:szCs w:val="24"/>
        </w:rPr>
        <w:t>hvis</w:t>
      </w:r>
      <w:r w:rsidR="00195448" w:rsidRPr="00815B3E">
        <w:rPr>
          <w:rFonts w:eastAsia="Calibri" w:cs="Times New Roman"/>
          <w:bCs/>
          <w:color w:val="000000" w:themeColor="text1"/>
          <w:szCs w:val="24"/>
        </w:rPr>
        <w:t xml:space="preserve"> handelsværdien </w:t>
      </w:r>
      <w:r w:rsidRPr="00815B3E">
        <w:rPr>
          <w:rFonts w:eastAsia="Calibri" w:cs="Times New Roman"/>
          <w:bCs/>
          <w:color w:val="000000" w:themeColor="text1"/>
          <w:szCs w:val="24"/>
        </w:rPr>
        <w:t xml:space="preserve">er steget til </w:t>
      </w:r>
      <w:r w:rsidR="00195448" w:rsidRPr="00815B3E">
        <w:rPr>
          <w:rFonts w:eastAsia="Calibri" w:cs="Times New Roman"/>
          <w:bCs/>
          <w:color w:val="000000" w:themeColor="text1"/>
          <w:szCs w:val="24"/>
        </w:rPr>
        <w:t>210 mio</w:t>
      </w:r>
      <w:r w:rsidR="00DB6E2D" w:rsidRPr="00815B3E">
        <w:rPr>
          <w:rFonts w:eastAsia="Calibri" w:cs="Times New Roman"/>
          <w:bCs/>
          <w:color w:val="000000" w:themeColor="text1"/>
          <w:szCs w:val="24"/>
        </w:rPr>
        <w:t>.</w:t>
      </w:r>
      <w:r w:rsidR="00195448" w:rsidRPr="00815B3E">
        <w:rPr>
          <w:rFonts w:eastAsia="Calibri" w:cs="Times New Roman"/>
          <w:bCs/>
          <w:color w:val="000000" w:themeColor="text1"/>
          <w:szCs w:val="24"/>
        </w:rPr>
        <w:t xml:space="preserve"> kr. ved indkomstårets udløb, så </w:t>
      </w:r>
      <w:r w:rsidR="004A572F">
        <w:rPr>
          <w:rFonts w:eastAsia="Calibri" w:cs="Times New Roman"/>
          <w:bCs/>
          <w:color w:val="000000" w:themeColor="text1"/>
          <w:szCs w:val="24"/>
        </w:rPr>
        <w:t>vil</w:t>
      </w:r>
      <w:r w:rsidRPr="00815B3E">
        <w:rPr>
          <w:rFonts w:eastAsia="Calibri" w:cs="Times New Roman"/>
          <w:bCs/>
          <w:color w:val="000000" w:themeColor="text1"/>
          <w:szCs w:val="24"/>
        </w:rPr>
        <w:t xml:space="preserve"> fortjenesten opgjort efter lagerprincippet </w:t>
      </w:r>
      <w:r w:rsidR="004A572F">
        <w:rPr>
          <w:rFonts w:eastAsia="Calibri" w:cs="Times New Roman"/>
          <w:bCs/>
          <w:color w:val="000000" w:themeColor="text1"/>
          <w:szCs w:val="24"/>
        </w:rPr>
        <w:t xml:space="preserve">udgøre </w:t>
      </w:r>
      <w:r w:rsidR="00195448" w:rsidRPr="00815B3E">
        <w:rPr>
          <w:rFonts w:eastAsia="Calibri" w:cs="Times New Roman"/>
          <w:bCs/>
          <w:color w:val="000000" w:themeColor="text1"/>
          <w:szCs w:val="24"/>
        </w:rPr>
        <w:t>10 mio. kr.</w:t>
      </w:r>
      <w:r w:rsidRPr="00815B3E">
        <w:rPr>
          <w:rFonts w:eastAsia="Calibri" w:cs="Times New Roman"/>
          <w:bCs/>
          <w:color w:val="000000" w:themeColor="text1"/>
          <w:szCs w:val="24"/>
        </w:rPr>
        <w:t>, som vil skulle medregnes ved opgørelsen af den skattepligtige indkomst for</w:t>
      </w:r>
      <w:r w:rsidR="00195448" w:rsidRPr="00815B3E">
        <w:rPr>
          <w:rFonts w:eastAsia="Calibri" w:cs="Times New Roman"/>
          <w:bCs/>
          <w:color w:val="000000" w:themeColor="text1"/>
          <w:szCs w:val="24"/>
        </w:rPr>
        <w:t xml:space="preserve"> det pågældende indkomstår. </w:t>
      </w:r>
      <w:r w:rsidRPr="00815B3E">
        <w:rPr>
          <w:rFonts w:eastAsia="Calibri" w:cs="Times New Roman"/>
          <w:bCs/>
          <w:color w:val="000000" w:themeColor="text1"/>
          <w:szCs w:val="24"/>
        </w:rPr>
        <w:t xml:space="preserve">Hvis ejendommens handelsværdi derimod er faldet til 195 mio. kr. ved indkomstårets udløb, så vil der være lidt et tab på 5 mio. kr. opgjort efter lagerprincippet, som vil kunne fratrækkes ved opgørelsen af den skattepligtige indkomst for det pågældende år. </w:t>
      </w:r>
    </w:p>
    <w:p w14:paraId="7E729ADC" w14:textId="530C9F13" w:rsidR="00195448" w:rsidRPr="00815B3E" w:rsidRDefault="00195448" w:rsidP="00AE0619">
      <w:pPr>
        <w:spacing w:after="240"/>
        <w:rPr>
          <w:rFonts w:eastAsia="Calibri" w:cs="Times New Roman"/>
          <w:bCs/>
          <w:color w:val="000000" w:themeColor="text1"/>
          <w:szCs w:val="24"/>
        </w:rPr>
      </w:pPr>
      <w:r w:rsidRPr="00815B3E">
        <w:rPr>
          <w:rFonts w:eastAsia="Calibri" w:cs="Times New Roman"/>
          <w:bCs/>
          <w:color w:val="000000" w:themeColor="text1"/>
          <w:szCs w:val="24"/>
        </w:rPr>
        <w:t>Det foreslås i</w:t>
      </w:r>
      <w:r w:rsidR="0001548C" w:rsidRPr="00815B3E">
        <w:rPr>
          <w:rFonts w:eastAsia="Calibri" w:cs="Times New Roman"/>
          <w:bCs/>
          <w:color w:val="000000" w:themeColor="text1"/>
          <w:szCs w:val="24"/>
        </w:rPr>
        <w:t xml:space="preserve"> </w:t>
      </w:r>
      <w:r w:rsidR="009C3102" w:rsidRPr="00815B3E">
        <w:rPr>
          <w:rFonts w:eastAsia="Calibri" w:cs="Times New Roman"/>
          <w:bCs/>
          <w:color w:val="000000" w:themeColor="text1"/>
          <w:szCs w:val="24"/>
        </w:rPr>
        <w:t>ejendomsavancebeskatningsloven</w:t>
      </w:r>
      <w:r w:rsidRPr="00815B3E">
        <w:rPr>
          <w:rFonts w:eastAsia="Calibri" w:cs="Times New Roman"/>
          <w:bCs/>
          <w:color w:val="000000" w:themeColor="text1"/>
          <w:szCs w:val="24"/>
        </w:rPr>
        <w:t xml:space="preserve"> </w:t>
      </w:r>
      <w:r w:rsidRPr="00815B3E">
        <w:rPr>
          <w:rFonts w:eastAsia="Calibri" w:cs="Times New Roman"/>
          <w:bCs/>
          <w:i/>
          <w:iCs/>
          <w:color w:val="000000" w:themeColor="text1"/>
          <w:szCs w:val="24"/>
        </w:rPr>
        <w:t>§ 14 A, stk. 1, 3. pkt</w:t>
      </w:r>
      <w:r w:rsidR="0089721D">
        <w:rPr>
          <w:rFonts w:eastAsia="Calibri" w:cs="Times New Roman"/>
          <w:bCs/>
          <w:i/>
          <w:iCs/>
          <w:color w:val="000000" w:themeColor="text1"/>
          <w:szCs w:val="24"/>
        </w:rPr>
        <w:t>.,</w:t>
      </w:r>
      <w:r w:rsidRPr="00815B3E">
        <w:rPr>
          <w:rFonts w:eastAsia="Calibri" w:cs="Times New Roman"/>
          <w:bCs/>
          <w:i/>
          <w:iCs/>
          <w:color w:val="000000" w:themeColor="text1"/>
          <w:szCs w:val="24"/>
        </w:rPr>
        <w:t xml:space="preserve"> </w:t>
      </w:r>
      <w:r w:rsidRPr="00815B3E">
        <w:rPr>
          <w:rFonts w:eastAsia="Calibri" w:cs="Times New Roman"/>
          <w:bCs/>
          <w:color w:val="000000" w:themeColor="text1"/>
          <w:szCs w:val="24"/>
        </w:rPr>
        <w:t>at</w:t>
      </w:r>
      <w:r w:rsidRPr="00815B3E">
        <w:rPr>
          <w:rFonts w:eastAsia="Calibri" w:cs="Times New Roman"/>
          <w:bCs/>
          <w:i/>
          <w:iCs/>
          <w:color w:val="000000" w:themeColor="text1"/>
          <w:szCs w:val="24"/>
        </w:rPr>
        <w:t xml:space="preserve"> </w:t>
      </w:r>
      <w:r w:rsidRPr="00815B3E">
        <w:rPr>
          <w:rFonts w:eastAsia="Calibri" w:cs="Times New Roman"/>
          <w:bCs/>
          <w:color w:val="000000" w:themeColor="text1"/>
          <w:szCs w:val="24"/>
        </w:rPr>
        <w:t>h</w:t>
      </w:r>
      <w:r w:rsidR="00AE0619" w:rsidRPr="00815B3E">
        <w:rPr>
          <w:rFonts w:eastAsia="Calibri" w:cs="Times New Roman"/>
          <w:bCs/>
          <w:color w:val="000000" w:themeColor="text1"/>
          <w:szCs w:val="24"/>
        </w:rPr>
        <w:t xml:space="preserve">vis ejendommen er afstået i løbet af indkomståret, </w:t>
      </w:r>
      <w:r w:rsidR="0001548C" w:rsidRPr="00815B3E">
        <w:rPr>
          <w:rFonts w:eastAsia="Calibri" w:cs="Times New Roman"/>
          <w:bCs/>
          <w:color w:val="000000" w:themeColor="text1"/>
          <w:szCs w:val="24"/>
        </w:rPr>
        <w:t xml:space="preserve">så </w:t>
      </w:r>
      <w:r w:rsidR="004A572F">
        <w:rPr>
          <w:rFonts w:eastAsia="Calibri" w:cs="Times New Roman"/>
          <w:bCs/>
          <w:color w:val="000000" w:themeColor="text1"/>
          <w:szCs w:val="24"/>
        </w:rPr>
        <w:t xml:space="preserve">skal </w:t>
      </w:r>
      <w:r w:rsidR="00AE0619" w:rsidRPr="00815B3E">
        <w:rPr>
          <w:rFonts w:eastAsia="Calibri" w:cs="Times New Roman"/>
          <w:bCs/>
          <w:color w:val="000000" w:themeColor="text1"/>
          <w:szCs w:val="24"/>
        </w:rPr>
        <w:t>ejendommens</w:t>
      </w:r>
      <w:r w:rsidR="002B0A43">
        <w:rPr>
          <w:rFonts w:eastAsia="Calibri" w:cs="Times New Roman"/>
          <w:bCs/>
          <w:color w:val="000000" w:themeColor="text1"/>
          <w:szCs w:val="24"/>
        </w:rPr>
        <w:t xml:space="preserve"> </w:t>
      </w:r>
      <w:r w:rsidR="00AE0619" w:rsidRPr="00815B3E">
        <w:rPr>
          <w:rFonts w:eastAsia="Calibri" w:cs="Times New Roman"/>
          <w:bCs/>
          <w:color w:val="000000" w:themeColor="text1"/>
          <w:szCs w:val="24"/>
        </w:rPr>
        <w:t xml:space="preserve">afståelsessum </w:t>
      </w:r>
      <w:r w:rsidR="004A572F">
        <w:rPr>
          <w:rFonts w:eastAsia="Calibri" w:cs="Times New Roman"/>
          <w:bCs/>
          <w:color w:val="000000" w:themeColor="text1"/>
          <w:szCs w:val="24"/>
        </w:rPr>
        <w:t xml:space="preserve">anvendes </w:t>
      </w:r>
      <w:r w:rsidR="00AE0619" w:rsidRPr="00815B3E">
        <w:rPr>
          <w:rFonts w:eastAsia="Calibri" w:cs="Times New Roman"/>
          <w:bCs/>
          <w:color w:val="000000" w:themeColor="text1"/>
          <w:szCs w:val="24"/>
        </w:rPr>
        <w:t xml:space="preserve">i stedet for værdien ved indkomstårets udløb. </w:t>
      </w:r>
    </w:p>
    <w:p w14:paraId="72AA3B48" w14:textId="4FDABF29" w:rsidR="00195448" w:rsidRDefault="0001548C" w:rsidP="00AE0619">
      <w:pPr>
        <w:spacing w:after="240"/>
        <w:rPr>
          <w:rFonts w:eastAsia="Calibri" w:cs="Times New Roman"/>
          <w:bCs/>
          <w:color w:val="000000" w:themeColor="text1"/>
          <w:szCs w:val="24"/>
        </w:rPr>
      </w:pPr>
      <w:r w:rsidRPr="00815B3E">
        <w:rPr>
          <w:rFonts w:eastAsia="Calibri" w:cs="Times New Roman"/>
          <w:bCs/>
          <w:color w:val="000000" w:themeColor="text1"/>
          <w:szCs w:val="24"/>
        </w:rPr>
        <w:t>Forslaget indebærer, at hvis d</w:t>
      </w:r>
      <w:r w:rsidR="00195448" w:rsidRPr="00815B3E">
        <w:rPr>
          <w:rFonts w:eastAsia="Calibri" w:cs="Times New Roman"/>
          <w:bCs/>
          <w:color w:val="000000" w:themeColor="text1"/>
          <w:szCs w:val="24"/>
        </w:rPr>
        <w:t>en skattepligtig</w:t>
      </w:r>
      <w:r w:rsidRPr="00815B3E">
        <w:rPr>
          <w:rFonts w:eastAsia="Calibri" w:cs="Times New Roman"/>
          <w:bCs/>
          <w:color w:val="000000" w:themeColor="text1"/>
          <w:szCs w:val="24"/>
        </w:rPr>
        <w:t xml:space="preserve">e ejer </w:t>
      </w:r>
      <w:r w:rsidR="00195448" w:rsidRPr="00815B3E">
        <w:rPr>
          <w:rFonts w:eastAsia="Calibri" w:cs="Times New Roman"/>
          <w:bCs/>
          <w:color w:val="000000" w:themeColor="text1"/>
          <w:szCs w:val="24"/>
        </w:rPr>
        <w:t xml:space="preserve">en </w:t>
      </w:r>
      <w:r w:rsidRPr="00815B3E">
        <w:rPr>
          <w:rFonts w:eastAsia="Calibri" w:cs="Times New Roman"/>
          <w:bCs/>
          <w:color w:val="000000" w:themeColor="text1"/>
          <w:szCs w:val="24"/>
        </w:rPr>
        <w:t xml:space="preserve">lagerbeskattet </w:t>
      </w:r>
      <w:r w:rsidR="00195448" w:rsidRPr="00815B3E">
        <w:rPr>
          <w:rFonts w:eastAsia="Calibri" w:cs="Times New Roman"/>
          <w:bCs/>
          <w:color w:val="000000" w:themeColor="text1"/>
          <w:szCs w:val="24"/>
        </w:rPr>
        <w:t>ejendom</w:t>
      </w:r>
      <w:r w:rsidRPr="00815B3E">
        <w:rPr>
          <w:rFonts w:eastAsia="Calibri" w:cs="Times New Roman"/>
          <w:bCs/>
          <w:color w:val="000000" w:themeColor="text1"/>
          <w:szCs w:val="24"/>
        </w:rPr>
        <w:t>, der har</w:t>
      </w:r>
      <w:r w:rsidR="00195448" w:rsidRPr="00815B3E">
        <w:rPr>
          <w:rFonts w:eastAsia="Calibri" w:cs="Times New Roman"/>
          <w:bCs/>
          <w:color w:val="000000" w:themeColor="text1"/>
          <w:szCs w:val="24"/>
        </w:rPr>
        <w:t xml:space="preserve"> en handelsværdi på 200 mio</w:t>
      </w:r>
      <w:r w:rsidR="005A6819" w:rsidRPr="00815B3E">
        <w:rPr>
          <w:rFonts w:eastAsia="Calibri" w:cs="Times New Roman"/>
          <w:bCs/>
          <w:color w:val="000000" w:themeColor="text1"/>
          <w:szCs w:val="24"/>
        </w:rPr>
        <w:t>.</w:t>
      </w:r>
      <w:r w:rsidR="00195448" w:rsidRPr="00815B3E">
        <w:rPr>
          <w:rFonts w:eastAsia="Calibri" w:cs="Times New Roman"/>
          <w:bCs/>
          <w:color w:val="000000" w:themeColor="text1"/>
          <w:szCs w:val="24"/>
        </w:rPr>
        <w:t xml:space="preserve"> kr. ved begyndelse</w:t>
      </w:r>
      <w:r w:rsidR="005A6819" w:rsidRPr="00815B3E">
        <w:rPr>
          <w:rFonts w:eastAsia="Calibri" w:cs="Times New Roman"/>
          <w:bCs/>
          <w:color w:val="000000" w:themeColor="text1"/>
          <w:szCs w:val="24"/>
        </w:rPr>
        <w:t>n</w:t>
      </w:r>
      <w:r w:rsidR="00195448" w:rsidRPr="00815B3E">
        <w:rPr>
          <w:rFonts w:eastAsia="Calibri" w:cs="Times New Roman"/>
          <w:bCs/>
          <w:color w:val="000000" w:themeColor="text1"/>
          <w:szCs w:val="24"/>
        </w:rPr>
        <w:t xml:space="preserve"> af et indkomstår, og ejendommen </w:t>
      </w:r>
      <w:r w:rsidRPr="00815B3E">
        <w:rPr>
          <w:rFonts w:eastAsia="Calibri" w:cs="Times New Roman"/>
          <w:bCs/>
          <w:color w:val="000000" w:themeColor="text1"/>
          <w:szCs w:val="24"/>
        </w:rPr>
        <w:t xml:space="preserve">afstås </w:t>
      </w:r>
      <w:r w:rsidR="005A6819" w:rsidRPr="00815B3E">
        <w:rPr>
          <w:rFonts w:eastAsia="Calibri" w:cs="Times New Roman"/>
          <w:bCs/>
          <w:color w:val="000000" w:themeColor="text1"/>
          <w:szCs w:val="24"/>
        </w:rPr>
        <w:t xml:space="preserve">i løbet af indkomståret </w:t>
      </w:r>
      <w:r w:rsidRPr="00815B3E">
        <w:rPr>
          <w:rFonts w:eastAsia="Calibri" w:cs="Times New Roman"/>
          <w:bCs/>
          <w:color w:val="000000" w:themeColor="text1"/>
          <w:szCs w:val="24"/>
        </w:rPr>
        <w:t>for</w:t>
      </w:r>
      <w:r w:rsidR="00195448" w:rsidRPr="00815B3E">
        <w:rPr>
          <w:rFonts w:eastAsia="Calibri" w:cs="Times New Roman"/>
          <w:bCs/>
          <w:color w:val="000000" w:themeColor="text1"/>
          <w:szCs w:val="24"/>
        </w:rPr>
        <w:t xml:space="preserve"> 210 mio. kr., så </w:t>
      </w:r>
      <w:r w:rsidR="006B381E" w:rsidRPr="00815B3E">
        <w:rPr>
          <w:rFonts w:eastAsia="Calibri" w:cs="Times New Roman"/>
          <w:bCs/>
          <w:color w:val="000000" w:themeColor="text1"/>
          <w:szCs w:val="24"/>
        </w:rPr>
        <w:t xml:space="preserve">kan gevinsten efter lagerprincippet opgøres til 10 mio. kr., som </w:t>
      </w:r>
      <w:r w:rsidR="00195448" w:rsidRPr="00815B3E">
        <w:rPr>
          <w:rFonts w:eastAsia="Calibri" w:cs="Times New Roman"/>
          <w:bCs/>
          <w:color w:val="000000" w:themeColor="text1"/>
          <w:szCs w:val="24"/>
        </w:rPr>
        <w:t>skal</w:t>
      </w:r>
      <w:r w:rsidR="006B381E" w:rsidRPr="00815B3E">
        <w:rPr>
          <w:rFonts w:eastAsia="Calibri" w:cs="Times New Roman"/>
          <w:bCs/>
          <w:color w:val="000000" w:themeColor="text1"/>
          <w:szCs w:val="24"/>
        </w:rPr>
        <w:t xml:space="preserve"> medregnes til</w:t>
      </w:r>
      <w:r w:rsidR="00195448" w:rsidRPr="00815B3E">
        <w:rPr>
          <w:rFonts w:eastAsia="Calibri" w:cs="Times New Roman"/>
          <w:bCs/>
          <w:color w:val="000000" w:themeColor="text1"/>
          <w:szCs w:val="24"/>
        </w:rPr>
        <w:t xml:space="preserve"> den skattepligtige </w:t>
      </w:r>
      <w:r w:rsidR="006B381E" w:rsidRPr="00815B3E">
        <w:rPr>
          <w:rFonts w:eastAsia="Calibri" w:cs="Times New Roman"/>
          <w:bCs/>
          <w:color w:val="000000" w:themeColor="text1"/>
          <w:szCs w:val="24"/>
        </w:rPr>
        <w:t xml:space="preserve">indkomst for </w:t>
      </w:r>
      <w:r w:rsidR="00195448" w:rsidRPr="00815B3E">
        <w:rPr>
          <w:rFonts w:eastAsia="Calibri" w:cs="Times New Roman"/>
          <w:bCs/>
          <w:color w:val="000000" w:themeColor="text1"/>
          <w:szCs w:val="24"/>
        </w:rPr>
        <w:t>i det pågældende indkomstår.</w:t>
      </w:r>
    </w:p>
    <w:p w14:paraId="7BA16302" w14:textId="68A6B7DA" w:rsidR="001D35B8" w:rsidRDefault="00F37F22" w:rsidP="00F37F22">
      <w:pPr>
        <w:spacing w:after="240"/>
        <w:rPr>
          <w:rFonts w:eastAsia="Calibri" w:cs="Times New Roman"/>
          <w:bCs/>
          <w:color w:val="000000" w:themeColor="text1"/>
          <w:szCs w:val="24"/>
        </w:rPr>
      </w:pPr>
      <w:r>
        <w:rPr>
          <w:rFonts w:eastAsia="Calibri" w:cs="Times New Roman"/>
          <w:bCs/>
          <w:color w:val="000000" w:themeColor="text1"/>
          <w:szCs w:val="24"/>
        </w:rPr>
        <w:t xml:space="preserve">Det foreslås i </w:t>
      </w:r>
      <w:r w:rsidRPr="00815B3E">
        <w:rPr>
          <w:rFonts w:eastAsia="Calibri" w:cs="Times New Roman"/>
          <w:bCs/>
          <w:color w:val="000000" w:themeColor="text1"/>
          <w:szCs w:val="24"/>
        </w:rPr>
        <w:t xml:space="preserve">ejendomsavancebeskatningsloven </w:t>
      </w:r>
      <w:r w:rsidRPr="00815B3E">
        <w:rPr>
          <w:rFonts w:eastAsia="Calibri" w:cs="Times New Roman"/>
          <w:bCs/>
          <w:i/>
          <w:iCs/>
          <w:color w:val="000000" w:themeColor="text1"/>
          <w:szCs w:val="24"/>
        </w:rPr>
        <w:t>§ 14 A, stk. 2</w:t>
      </w:r>
      <w:r>
        <w:rPr>
          <w:rFonts w:eastAsia="Calibri" w:cs="Times New Roman"/>
          <w:bCs/>
          <w:i/>
          <w:iCs/>
          <w:color w:val="000000" w:themeColor="text1"/>
          <w:szCs w:val="24"/>
        </w:rPr>
        <w:t>, 1</w:t>
      </w:r>
      <w:r w:rsidRPr="00815B3E">
        <w:rPr>
          <w:rFonts w:eastAsia="Calibri" w:cs="Times New Roman"/>
          <w:bCs/>
          <w:i/>
          <w:iCs/>
          <w:color w:val="000000" w:themeColor="text1"/>
          <w:szCs w:val="24"/>
        </w:rPr>
        <w:t>.</w:t>
      </w:r>
      <w:r>
        <w:rPr>
          <w:rFonts w:eastAsia="Calibri" w:cs="Times New Roman"/>
          <w:bCs/>
          <w:i/>
          <w:iCs/>
          <w:color w:val="000000" w:themeColor="text1"/>
          <w:szCs w:val="24"/>
        </w:rPr>
        <w:t xml:space="preserve"> </w:t>
      </w:r>
      <w:r w:rsidRPr="00815B3E">
        <w:rPr>
          <w:rFonts w:eastAsia="Calibri" w:cs="Times New Roman"/>
          <w:bCs/>
          <w:i/>
          <w:iCs/>
          <w:color w:val="000000" w:themeColor="text1"/>
          <w:szCs w:val="24"/>
        </w:rPr>
        <w:t>pkt</w:t>
      </w:r>
      <w:r>
        <w:rPr>
          <w:rFonts w:eastAsia="Calibri" w:cs="Times New Roman"/>
          <w:bCs/>
          <w:i/>
          <w:iCs/>
          <w:color w:val="000000" w:themeColor="text1"/>
          <w:szCs w:val="24"/>
        </w:rPr>
        <w:t>.,</w:t>
      </w:r>
      <w:r>
        <w:rPr>
          <w:rFonts w:eastAsia="Calibri" w:cs="Times New Roman"/>
          <w:bCs/>
          <w:color w:val="000000" w:themeColor="text1"/>
          <w:szCs w:val="24"/>
        </w:rPr>
        <w:t xml:space="preserve"> at anskaffelsessummen </w:t>
      </w:r>
      <w:r w:rsidR="004A572F">
        <w:rPr>
          <w:rFonts w:eastAsia="Calibri" w:cs="Times New Roman"/>
          <w:bCs/>
          <w:color w:val="000000" w:themeColor="text1"/>
          <w:szCs w:val="24"/>
        </w:rPr>
        <w:t xml:space="preserve">skal </w:t>
      </w:r>
      <w:r>
        <w:rPr>
          <w:rFonts w:eastAsia="Calibri" w:cs="Times New Roman"/>
          <w:bCs/>
          <w:color w:val="000000" w:themeColor="text1"/>
          <w:szCs w:val="24"/>
        </w:rPr>
        <w:t xml:space="preserve">omregnes til kontantværdi, der beregnes ved, at den kontante del af anskaffelsessummen lægges sammen med kursværdien af ejendommens gældsposter på anskaffelsestidspunktet. </w:t>
      </w:r>
    </w:p>
    <w:p w14:paraId="67B23302" w14:textId="403EF17D" w:rsidR="00F37F22" w:rsidRDefault="001D35B8" w:rsidP="00F37F22">
      <w:pPr>
        <w:spacing w:after="240"/>
        <w:rPr>
          <w:rFonts w:eastAsia="Calibri" w:cs="Times New Roman"/>
          <w:bCs/>
          <w:color w:val="000000" w:themeColor="text1"/>
          <w:szCs w:val="24"/>
        </w:rPr>
      </w:pPr>
      <w:r>
        <w:rPr>
          <w:rFonts w:eastAsia="Calibri" w:cs="Times New Roman"/>
          <w:bCs/>
          <w:color w:val="000000" w:themeColor="text1"/>
          <w:szCs w:val="24"/>
        </w:rPr>
        <w:t xml:space="preserve">Det foreslås i </w:t>
      </w:r>
      <w:r w:rsidRPr="00815B3E">
        <w:rPr>
          <w:rFonts w:eastAsia="Calibri" w:cs="Times New Roman"/>
          <w:bCs/>
          <w:color w:val="000000" w:themeColor="text1"/>
          <w:szCs w:val="24"/>
        </w:rPr>
        <w:t xml:space="preserve">ejendomsavancebeskatningsloven </w:t>
      </w:r>
      <w:r w:rsidRPr="00815B3E">
        <w:rPr>
          <w:rFonts w:eastAsia="Calibri" w:cs="Times New Roman"/>
          <w:bCs/>
          <w:i/>
          <w:iCs/>
          <w:color w:val="000000" w:themeColor="text1"/>
          <w:szCs w:val="24"/>
        </w:rPr>
        <w:t>§ 14 A, stk. 2</w:t>
      </w:r>
      <w:r>
        <w:rPr>
          <w:rFonts w:eastAsia="Calibri" w:cs="Times New Roman"/>
          <w:bCs/>
          <w:i/>
          <w:iCs/>
          <w:color w:val="000000" w:themeColor="text1"/>
          <w:szCs w:val="24"/>
        </w:rPr>
        <w:t>, 2</w:t>
      </w:r>
      <w:r w:rsidRPr="00815B3E">
        <w:rPr>
          <w:rFonts w:eastAsia="Calibri" w:cs="Times New Roman"/>
          <w:bCs/>
          <w:i/>
          <w:iCs/>
          <w:color w:val="000000" w:themeColor="text1"/>
          <w:szCs w:val="24"/>
        </w:rPr>
        <w:t>.</w:t>
      </w:r>
      <w:r>
        <w:rPr>
          <w:rFonts w:eastAsia="Calibri" w:cs="Times New Roman"/>
          <w:bCs/>
          <w:i/>
          <w:iCs/>
          <w:color w:val="000000" w:themeColor="text1"/>
          <w:szCs w:val="24"/>
        </w:rPr>
        <w:t xml:space="preserve"> </w:t>
      </w:r>
      <w:r w:rsidRPr="00815B3E">
        <w:rPr>
          <w:rFonts w:eastAsia="Calibri" w:cs="Times New Roman"/>
          <w:bCs/>
          <w:i/>
          <w:iCs/>
          <w:color w:val="000000" w:themeColor="text1"/>
          <w:szCs w:val="24"/>
        </w:rPr>
        <w:t>pkt</w:t>
      </w:r>
      <w:r>
        <w:rPr>
          <w:rFonts w:eastAsia="Calibri" w:cs="Times New Roman"/>
          <w:bCs/>
          <w:i/>
          <w:iCs/>
          <w:color w:val="000000" w:themeColor="text1"/>
          <w:szCs w:val="24"/>
        </w:rPr>
        <w:t>.,</w:t>
      </w:r>
      <w:r>
        <w:rPr>
          <w:rFonts w:eastAsia="Calibri" w:cs="Times New Roman"/>
          <w:bCs/>
          <w:color w:val="000000" w:themeColor="text1"/>
          <w:szCs w:val="24"/>
        </w:rPr>
        <w:t xml:space="preserve"> at a</w:t>
      </w:r>
      <w:r w:rsidR="00F37F22">
        <w:rPr>
          <w:rFonts w:eastAsia="Calibri" w:cs="Times New Roman"/>
          <w:bCs/>
          <w:color w:val="000000" w:themeColor="text1"/>
          <w:szCs w:val="24"/>
        </w:rPr>
        <w:t>fståelsessummen omregnes til kontantværdi, der beregnes ved, at den kontante del af afståelsessummen lægges sammen med kursværdien af de overdragne gældsposter på afståelsestidspunktet</w:t>
      </w:r>
      <w:r>
        <w:rPr>
          <w:rFonts w:eastAsia="Calibri" w:cs="Times New Roman"/>
          <w:bCs/>
          <w:color w:val="000000" w:themeColor="text1"/>
          <w:szCs w:val="24"/>
        </w:rPr>
        <w:t>.</w:t>
      </w:r>
    </w:p>
    <w:p w14:paraId="6FD8ADE2" w14:textId="77777777" w:rsidR="001D35B8" w:rsidRDefault="001D35B8" w:rsidP="00F37F22">
      <w:pPr>
        <w:spacing w:after="240"/>
        <w:rPr>
          <w:rFonts w:eastAsia="Calibri" w:cs="Times New Roman"/>
          <w:bCs/>
          <w:color w:val="000000" w:themeColor="text1"/>
          <w:szCs w:val="24"/>
        </w:rPr>
      </w:pPr>
      <w:r>
        <w:rPr>
          <w:rFonts w:eastAsia="Calibri" w:cs="Times New Roman"/>
          <w:bCs/>
          <w:color w:val="000000" w:themeColor="text1"/>
          <w:szCs w:val="24"/>
        </w:rPr>
        <w:t xml:space="preserve">Omregningen til kontantværdi indebærer, at anskaffelsessummen og afståelsessummen opgøres til den aktuelle handelsværdi for ejendommen på </w:t>
      </w:r>
      <w:r>
        <w:rPr>
          <w:rFonts w:eastAsia="Calibri" w:cs="Times New Roman"/>
          <w:bCs/>
          <w:color w:val="000000" w:themeColor="text1"/>
          <w:szCs w:val="24"/>
        </w:rPr>
        <w:lastRenderedPageBreak/>
        <w:t xml:space="preserve">overdragelsestidspunktet uden hensyntagen til, hvordan ejendommen er belånt. </w:t>
      </w:r>
    </w:p>
    <w:p w14:paraId="3690AFBA" w14:textId="7335A6F1" w:rsidR="00F37F22" w:rsidRPr="00815B3E" w:rsidRDefault="001D35B8" w:rsidP="00AE0619">
      <w:pPr>
        <w:spacing w:after="240"/>
        <w:rPr>
          <w:rFonts w:eastAsia="Calibri" w:cs="Times New Roman"/>
          <w:bCs/>
          <w:color w:val="000000" w:themeColor="text1"/>
          <w:szCs w:val="24"/>
        </w:rPr>
      </w:pPr>
      <w:r>
        <w:rPr>
          <w:rFonts w:eastAsia="Calibri" w:cs="Times New Roman"/>
          <w:bCs/>
          <w:color w:val="000000" w:themeColor="text1"/>
          <w:szCs w:val="24"/>
        </w:rPr>
        <w:t>De foreslåede bestemmelser om kontantomregning svarer til de gældende regler om kontantomregning ved overdragelse af realisationsbeskattede ejendomme, jf. ejendomsavancebeskatningslovens § 4, stk. 1, 2 og 4.</w:t>
      </w:r>
    </w:p>
    <w:p w14:paraId="32446A58" w14:textId="1E8C39D0" w:rsidR="004D7996" w:rsidRPr="00815B3E" w:rsidRDefault="004D7996" w:rsidP="00AE0619">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Årets </w:t>
      </w:r>
      <w:proofErr w:type="spellStart"/>
      <w:r w:rsidRPr="00815B3E">
        <w:rPr>
          <w:rFonts w:eastAsia="Calibri" w:cs="Times New Roman"/>
          <w:bCs/>
          <w:color w:val="000000" w:themeColor="text1"/>
          <w:szCs w:val="24"/>
        </w:rPr>
        <w:t>urealisere</w:t>
      </w:r>
      <w:r w:rsidR="003268C9" w:rsidRPr="00815B3E">
        <w:rPr>
          <w:rFonts w:eastAsia="Calibri" w:cs="Times New Roman"/>
          <w:bCs/>
          <w:color w:val="000000" w:themeColor="text1"/>
          <w:szCs w:val="24"/>
        </w:rPr>
        <w:t>de</w:t>
      </w:r>
      <w:proofErr w:type="spellEnd"/>
      <w:r w:rsidRPr="00815B3E">
        <w:rPr>
          <w:rFonts w:eastAsia="Calibri" w:cs="Times New Roman"/>
          <w:bCs/>
          <w:color w:val="000000" w:themeColor="text1"/>
          <w:szCs w:val="24"/>
        </w:rPr>
        <w:t xml:space="preserve"> gevinster og tab på de omfattede ejendomme skal medregnes til selskabets skattepligtige indkomst</w:t>
      </w:r>
      <w:r w:rsidR="003268C9" w:rsidRPr="00815B3E">
        <w:rPr>
          <w:rFonts w:eastAsia="Calibri" w:cs="Times New Roman"/>
          <w:bCs/>
          <w:color w:val="000000" w:themeColor="text1"/>
          <w:szCs w:val="24"/>
        </w:rPr>
        <w:t xml:space="preserve"> efter det foreslåede lagerprincip</w:t>
      </w:r>
      <w:r w:rsidRPr="00815B3E">
        <w:rPr>
          <w:rFonts w:eastAsia="Calibri" w:cs="Times New Roman"/>
          <w:bCs/>
          <w:color w:val="000000" w:themeColor="text1"/>
          <w:szCs w:val="24"/>
        </w:rPr>
        <w:t xml:space="preserve">. </w:t>
      </w:r>
      <w:r w:rsidR="003268C9" w:rsidRPr="00815B3E">
        <w:rPr>
          <w:rFonts w:eastAsia="Calibri" w:cs="Times New Roman"/>
          <w:bCs/>
          <w:color w:val="000000" w:themeColor="text1"/>
          <w:szCs w:val="24"/>
        </w:rPr>
        <w:t>Det foreslås således, at</w:t>
      </w:r>
      <w:r w:rsidR="003449F2" w:rsidRPr="00815B3E">
        <w:rPr>
          <w:rFonts w:eastAsia="Calibri" w:cs="Times New Roman"/>
          <w:bCs/>
          <w:color w:val="000000" w:themeColor="text1"/>
          <w:szCs w:val="24"/>
        </w:rPr>
        <w:t xml:space="preserve"> gevinst vil skulle medregnes</w:t>
      </w:r>
      <w:r w:rsidR="0089721D">
        <w:rPr>
          <w:rFonts w:eastAsia="Calibri" w:cs="Times New Roman"/>
          <w:bCs/>
          <w:color w:val="000000" w:themeColor="text1"/>
          <w:szCs w:val="24"/>
        </w:rPr>
        <w:t>,</w:t>
      </w:r>
      <w:r w:rsidR="003449F2" w:rsidRPr="00815B3E">
        <w:rPr>
          <w:rFonts w:eastAsia="Calibri" w:cs="Times New Roman"/>
          <w:bCs/>
          <w:color w:val="000000" w:themeColor="text1"/>
          <w:szCs w:val="24"/>
        </w:rPr>
        <w:t xml:space="preserve"> og </w:t>
      </w:r>
      <w:r w:rsidR="003268C9" w:rsidRPr="00815B3E">
        <w:rPr>
          <w:rFonts w:eastAsia="Calibri" w:cs="Times New Roman"/>
          <w:bCs/>
          <w:color w:val="000000" w:themeColor="text1"/>
          <w:szCs w:val="24"/>
        </w:rPr>
        <w:t>t</w:t>
      </w:r>
      <w:r w:rsidRPr="00815B3E">
        <w:rPr>
          <w:rFonts w:eastAsia="Calibri" w:cs="Times New Roman"/>
          <w:bCs/>
          <w:color w:val="000000" w:themeColor="text1"/>
          <w:szCs w:val="24"/>
        </w:rPr>
        <w:t>ab</w:t>
      </w:r>
      <w:r w:rsidR="003449F2" w:rsidRPr="00815B3E">
        <w:rPr>
          <w:rFonts w:eastAsia="Calibri" w:cs="Times New Roman"/>
          <w:bCs/>
          <w:color w:val="000000" w:themeColor="text1"/>
          <w:szCs w:val="24"/>
        </w:rPr>
        <w:t xml:space="preserve"> vil kunne fratrækkes</w:t>
      </w:r>
      <w:r w:rsidRPr="00815B3E">
        <w:rPr>
          <w:rFonts w:eastAsia="Calibri" w:cs="Times New Roman"/>
          <w:bCs/>
          <w:color w:val="000000" w:themeColor="text1"/>
          <w:szCs w:val="24"/>
        </w:rPr>
        <w:t xml:space="preserve"> </w:t>
      </w:r>
      <w:r w:rsidR="003268C9" w:rsidRPr="00815B3E">
        <w:rPr>
          <w:rFonts w:eastAsia="Calibri" w:cs="Times New Roman"/>
          <w:bCs/>
          <w:color w:val="000000" w:themeColor="text1"/>
          <w:szCs w:val="24"/>
        </w:rPr>
        <w:t xml:space="preserve">efter </w:t>
      </w:r>
      <w:r w:rsidR="00260103" w:rsidRPr="00815B3E">
        <w:rPr>
          <w:rFonts w:eastAsia="Calibri" w:cs="Times New Roman"/>
          <w:bCs/>
          <w:color w:val="000000" w:themeColor="text1"/>
          <w:szCs w:val="24"/>
        </w:rPr>
        <w:t xml:space="preserve">det foreslåede </w:t>
      </w:r>
      <w:r w:rsidR="003268C9" w:rsidRPr="00815B3E">
        <w:rPr>
          <w:rFonts w:eastAsia="Calibri" w:cs="Times New Roman"/>
          <w:bCs/>
          <w:color w:val="000000" w:themeColor="text1"/>
          <w:szCs w:val="24"/>
        </w:rPr>
        <w:t>lagerprincip</w:t>
      </w:r>
      <w:r w:rsidR="00260103" w:rsidRPr="00815B3E">
        <w:rPr>
          <w:rFonts w:eastAsia="Calibri" w:cs="Times New Roman"/>
          <w:bCs/>
          <w:color w:val="000000" w:themeColor="text1"/>
          <w:szCs w:val="24"/>
        </w:rPr>
        <w:t xml:space="preserve"> ved opgørelsen af</w:t>
      </w:r>
      <w:r w:rsidRPr="00815B3E">
        <w:rPr>
          <w:rFonts w:eastAsia="Calibri" w:cs="Times New Roman"/>
          <w:bCs/>
          <w:color w:val="000000" w:themeColor="text1"/>
          <w:szCs w:val="24"/>
        </w:rPr>
        <w:t xml:space="preserve"> den skattepligtige indkomst</w:t>
      </w:r>
      <w:r w:rsidR="003268C9" w:rsidRPr="00815B3E">
        <w:rPr>
          <w:rFonts w:eastAsia="Calibri" w:cs="Times New Roman"/>
          <w:bCs/>
          <w:color w:val="000000" w:themeColor="text1"/>
          <w:szCs w:val="24"/>
        </w:rPr>
        <w:t>. Tab</w:t>
      </w:r>
      <w:r w:rsidRPr="00815B3E">
        <w:rPr>
          <w:rFonts w:eastAsia="Calibri" w:cs="Times New Roman"/>
          <w:bCs/>
          <w:color w:val="000000" w:themeColor="text1"/>
          <w:szCs w:val="24"/>
        </w:rPr>
        <w:t xml:space="preserve"> på lagerbeskattede ejendomme </w:t>
      </w:r>
      <w:r w:rsidR="003268C9" w:rsidRPr="00815B3E">
        <w:rPr>
          <w:rFonts w:eastAsia="Calibri" w:cs="Times New Roman"/>
          <w:bCs/>
          <w:color w:val="000000" w:themeColor="text1"/>
          <w:szCs w:val="24"/>
        </w:rPr>
        <w:t xml:space="preserve">foreslås dermed ikke at være </w:t>
      </w:r>
      <w:r w:rsidRPr="00815B3E">
        <w:rPr>
          <w:rFonts w:eastAsia="Calibri" w:cs="Times New Roman"/>
          <w:bCs/>
          <w:color w:val="000000" w:themeColor="text1"/>
          <w:szCs w:val="24"/>
        </w:rPr>
        <w:t xml:space="preserve">kildeartsbegrænset. </w:t>
      </w:r>
      <w:r w:rsidR="003449F2" w:rsidRPr="00815B3E">
        <w:rPr>
          <w:rFonts w:eastAsia="Calibri" w:cs="Times New Roman"/>
          <w:bCs/>
          <w:color w:val="000000" w:themeColor="text1"/>
          <w:szCs w:val="24"/>
        </w:rPr>
        <w:t xml:space="preserve">Gevinst skal dog ikke beskattes, og tab </w:t>
      </w:r>
      <w:r w:rsidR="004A572F">
        <w:rPr>
          <w:rFonts w:eastAsia="Calibri" w:cs="Times New Roman"/>
          <w:bCs/>
          <w:color w:val="000000" w:themeColor="text1"/>
          <w:szCs w:val="24"/>
        </w:rPr>
        <w:t>skal</w:t>
      </w:r>
      <w:r w:rsidR="004A572F" w:rsidRPr="00815B3E">
        <w:rPr>
          <w:rFonts w:eastAsia="Calibri" w:cs="Times New Roman"/>
          <w:bCs/>
          <w:color w:val="000000" w:themeColor="text1"/>
          <w:szCs w:val="24"/>
        </w:rPr>
        <w:t xml:space="preserve"> </w:t>
      </w:r>
      <w:r w:rsidRPr="00815B3E">
        <w:rPr>
          <w:rFonts w:eastAsia="Calibri" w:cs="Times New Roman"/>
          <w:bCs/>
          <w:color w:val="000000" w:themeColor="text1"/>
          <w:szCs w:val="24"/>
        </w:rPr>
        <w:t xml:space="preserve">ikke </w:t>
      </w:r>
      <w:r w:rsidR="004A572F">
        <w:rPr>
          <w:rFonts w:eastAsia="Calibri" w:cs="Times New Roman"/>
          <w:bCs/>
          <w:color w:val="000000" w:themeColor="text1"/>
          <w:szCs w:val="24"/>
        </w:rPr>
        <w:t xml:space="preserve">kunne </w:t>
      </w:r>
      <w:r w:rsidRPr="00815B3E">
        <w:rPr>
          <w:rFonts w:eastAsia="Calibri" w:cs="Times New Roman"/>
          <w:bCs/>
          <w:color w:val="000000" w:themeColor="text1"/>
          <w:szCs w:val="24"/>
        </w:rPr>
        <w:t xml:space="preserve">fradrages, </w:t>
      </w:r>
      <w:r w:rsidR="00B9385C" w:rsidRPr="00B9385C">
        <w:rPr>
          <w:rFonts w:eastAsia="Calibri" w:cs="Times New Roman"/>
          <w:bCs/>
          <w:color w:val="000000" w:themeColor="text1"/>
          <w:szCs w:val="24"/>
        </w:rPr>
        <w:t xml:space="preserve">i det omfang der eksisterer en negativ </w:t>
      </w:r>
      <w:r w:rsidR="007C7BC5">
        <w:rPr>
          <w:rFonts w:eastAsia="Calibri" w:cs="Times New Roman"/>
          <w:bCs/>
          <w:color w:val="000000" w:themeColor="text1"/>
          <w:szCs w:val="24"/>
        </w:rPr>
        <w:t>henholdsvis</w:t>
      </w:r>
      <w:r w:rsidR="00B9385C" w:rsidRPr="00B9385C">
        <w:rPr>
          <w:rFonts w:eastAsia="Calibri" w:cs="Times New Roman"/>
          <w:bCs/>
          <w:color w:val="000000" w:themeColor="text1"/>
          <w:szCs w:val="24"/>
        </w:rPr>
        <w:t xml:space="preserve"> positiv realisationssaldo, </w:t>
      </w:r>
      <w:r w:rsidR="00665421">
        <w:rPr>
          <w:rFonts w:eastAsia="Calibri" w:cs="Times New Roman"/>
          <w:bCs/>
          <w:color w:val="000000" w:themeColor="text1"/>
          <w:szCs w:val="24"/>
        </w:rPr>
        <w:t xml:space="preserve">idet en sådan realisationssaldo efter forslaget </w:t>
      </w:r>
      <w:r w:rsidR="00B9385C" w:rsidRPr="00B9385C">
        <w:rPr>
          <w:rFonts w:eastAsia="Calibri" w:cs="Times New Roman"/>
          <w:bCs/>
          <w:color w:val="000000" w:themeColor="text1"/>
          <w:szCs w:val="24"/>
        </w:rPr>
        <w:t>først skal modregnes, jf. den foreslåede § 14 D i ejendomsavancebeskatningsloven</w:t>
      </w:r>
      <w:r w:rsidRPr="00815B3E">
        <w:rPr>
          <w:rFonts w:eastAsia="Calibri" w:cs="Times New Roman"/>
          <w:bCs/>
          <w:color w:val="000000" w:themeColor="text1"/>
          <w:szCs w:val="24"/>
        </w:rPr>
        <w:t xml:space="preserve">.  </w:t>
      </w:r>
    </w:p>
    <w:p w14:paraId="1BEBA4F4" w14:textId="5D856B3F" w:rsidR="00AE0619" w:rsidRPr="00815B3E" w:rsidRDefault="004205BC" w:rsidP="004205BC">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Det foreslås i </w:t>
      </w:r>
      <w:r w:rsidR="009C3102" w:rsidRPr="00815B3E">
        <w:rPr>
          <w:rFonts w:eastAsia="Calibri" w:cs="Times New Roman"/>
          <w:bCs/>
          <w:color w:val="000000" w:themeColor="text1"/>
          <w:szCs w:val="24"/>
        </w:rPr>
        <w:t>ejendomsavancebeskatningsloven</w:t>
      </w:r>
      <w:r w:rsidR="003268C9" w:rsidRPr="00815B3E">
        <w:rPr>
          <w:rFonts w:eastAsia="Calibri" w:cs="Times New Roman"/>
          <w:bCs/>
          <w:color w:val="000000" w:themeColor="text1"/>
          <w:szCs w:val="24"/>
        </w:rPr>
        <w:t xml:space="preserve"> </w:t>
      </w:r>
      <w:r w:rsidRPr="00815B3E">
        <w:rPr>
          <w:rFonts w:eastAsia="Calibri" w:cs="Times New Roman"/>
          <w:bCs/>
          <w:i/>
          <w:iCs/>
          <w:color w:val="000000" w:themeColor="text1"/>
          <w:szCs w:val="24"/>
        </w:rPr>
        <w:t xml:space="preserve">§ 14 A, stk. </w:t>
      </w:r>
      <w:r w:rsidR="001D35B8">
        <w:rPr>
          <w:rFonts w:eastAsia="Calibri" w:cs="Times New Roman"/>
          <w:bCs/>
          <w:i/>
          <w:iCs/>
          <w:color w:val="000000" w:themeColor="text1"/>
          <w:szCs w:val="24"/>
        </w:rPr>
        <w:t>3</w:t>
      </w:r>
      <w:r w:rsidRPr="00815B3E">
        <w:rPr>
          <w:rFonts w:eastAsia="Calibri" w:cs="Times New Roman"/>
          <w:bCs/>
          <w:i/>
          <w:iCs/>
          <w:color w:val="000000" w:themeColor="text1"/>
          <w:szCs w:val="24"/>
        </w:rPr>
        <w:t>,</w:t>
      </w:r>
      <w:r w:rsidRPr="00815B3E">
        <w:rPr>
          <w:rFonts w:eastAsia="Calibri" w:cs="Times New Roman"/>
          <w:bCs/>
          <w:color w:val="000000" w:themeColor="text1"/>
          <w:szCs w:val="24"/>
        </w:rPr>
        <w:t xml:space="preserve"> at e</w:t>
      </w:r>
      <w:r w:rsidR="00AE0619" w:rsidRPr="00815B3E">
        <w:rPr>
          <w:rFonts w:eastAsia="Calibri" w:cs="Times New Roman"/>
          <w:bCs/>
          <w:color w:val="000000" w:themeColor="text1"/>
          <w:szCs w:val="24"/>
        </w:rPr>
        <w:t xml:space="preserve">rstatnings- og forsikringssummer </w:t>
      </w:r>
      <w:r w:rsidR="004A572F">
        <w:rPr>
          <w:rFonts w:eastAsia="Calibri" w:cs="Times New Roman"/>
          <w:bCs/>
          <w:color w:val="000000" w:themeColor="text1"/>
          <w:szCs w:val="24"/>
        </w:rPr>
        <w:t xml:space="preserve">skal </w:t>
      </w:r>
      <w:r w:rsidR="00AE0619" w:rsidRPr="00815B3E">
        <w:rPr>
          <w:rFonts w:eastAsia="Calibri" w:cs="Times New Roman"/>
          <w:bCs/>
          <w:color w:val="000000" w:themeColor="text1"/>
          <w:szCs w:val="24"/>
        </w:rPr>
        <w:t>sidestilles med afståelsessummer</w:t>
      </w:r>
      <w:r w:rsidRPr="00815B3E">
        <w:rPr>
          <w:rFonts w:eastAsia="Calibri" w:cs="Times New Roman"/>
          <w:bCs/>
          <w:color w:val="000000" w:themeColor="text1"/>
          <w:szCs w:val="24"/>
        </w:rPr>
        <w:t xml:space="preserve">, hvilket også følger af de gældende regler i ejendomsavancebeskatningslovens § 2. </w:t>
      </w:r>
      <w:r w:rsidR="003268C9" w:rsidRPr="00815B3E">
        <w:rPr>
          <w:rFonts w:eastAsia="Calibri" w:cs="Times New Roman"/>
          <w:bCs/>
          <w:color w:val="000000" w:themeColor="text1"/>
          <w:szCs w:val="24"/>
        </w:rPr>
        <w:t>Den foreslåede bestemmelse</w:t>
      </w:r>
      <w:r w:rsidR="00260103" w:rsidRPr="00815B3E">
        <w:rPr>
          <w:rFonts w:eastAsia="Calibri" w:cs="Times New Roman"/>
          <w:bCs/>
          <w:color w:val="000000" w:themeColor="text1"/>
          <w:szCs w:val="24"/>
        </w:rPr>
        <w:t xml:space="preserve"> svarer til og</w:t>
      </w:r>
      <w:r w:rsidRPr="00815B3E">
        <w:rPr>
          <w:rFonts w:eastAsia="Calibri" w:cs="Times New Roman"/>
          <w:bCs/>
          <w:color w:val="000000" w:themeColor="text1"/>
          <w:szCs w:val="24"/>
        </w:rPr>
        <w:t xml:space="preserve"> skal</w:t>
      </w:r>
      <w:r w:rsidR="003268C9" w:rsidRPr="00815B3E">
        <w:rPr>
          <w:rFonts w:eastAsia="Calibri" w:cs="Times New Roman"/>
          <w:bCs/>
          <w:color w:val="000000" w:themeColor="text1"/>
          <w:szCs w:val="24"/>
        </w:rPr>
        <w:t xml:space="preserve"> fortolkes </w:t>
      </w:r>
      <w:r w:rsidRPr="00815B3E">
        <w:rPr>
          <w:rFonts w:eastAsia="Calibri" w:cs="Times New Roman"/>
          <w:bCs/>
          <w:color w:val="000000" w:themeColor="text1"/>
          <w:szCs w:val="24"/>
        </w:rPr>
        <w:t xml:space="preserve">i overensstemmelse med den </w:t>
      </w:r>
      <w:r w:rsidR="00260103" w:rsidRPr="00815B3E">
        <w:rPr>
          <w:rFonts w:eastAsia="Calibri" w:cs="Times New Roman"/>
          <w:bCs/>
          <w:color w:val="000000" w:themeColor="text1"/>
          <w:szCs w:val="24"/>
        </w:rPr>
        <w:t xml:space="preserve">tilsvarende </w:t>
      </w:r>
      <w:r w:rsidR="003268C9" w:rsidRPr="00815B3E">
        <w:rPr>
          <w:rFonts w:eastAsia="Calibri" w:cs="Times New Roman"/>
          <w:bCs/>
          <w:color w:val="000000" w:themeColor="text1"/>
          <w:szCs w:val="24"/>
        </w:rPr>
        <w:t xml:space="preserve">gældende bestemmelse i </w:t>
      </w:r>
      <w:r w:rsidR="009C3102" w:rsidRPr="00815B3E">
        <w:rPr>
          <w:rFonts w:eastAsia="Calibri" w:cs="Times New Roman"/>
          <w:bCs/>
          <w:color w:val="000000" w:themeColor="text1"/>
          <w:szCs w:val="24"/>
        </w:rPr>
        <w:t>ejendomsavancebeskatningsloven</w:t>
      </w:r>
      <w:r w:rsidR="003268C9" w:rsidRPr="00815B3E">
        <w:rPr>
          <w:rFonts w:eastAsia="Calibri" w:cs="Times New Roman"/>
          <w:bCs/>
          <w:color w:val="000000" w:themeColor="text1"/>
          <w:szCs w:val="24"/>
        </w:rPr>
        <w:t xml:space="preserve"> </w:t>
      </w:r>
      <w:r w:rsidRPr="00815B3E">
        <w:rPr>
          <w:rFonts w:eastAsia="Calibri" w:cs="Times New Roman"/>
          <w:bCs/>
          <w:color w:val="000000" w:themeColor="text1"/>
          <w:szCs w:val="24"/>
        </w:rPr>
        <w:t xml:space="preserve">§ 2. </w:t>
      </w:r>
    </w:p>
    <w:p w14:paraId="668CE3B6" w14:textId="0492928B" w:rsidR="00260103" w:rsidRPr="00815B3E" w:rsidRDefault="0030496B" w:rsidP="0030496B">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Det foreslås i </w:t>
      </w:r>
      <w:r w:rsidR="009C3102" w:rsidRPr="00815B3E">
        <w:rPr>
          <w:rFonts w:eastAsia="Calibri" w:cs="Times New Roman"/>
          <w:bCs/>
          <w:color w:val="000000" w:themeColor="text1"/>
          <w:szCs w:val="24"/>
        </w:rPr>
        <w:t>ejendomsavancebeskatningsloven</w:t>
      </w:r>
      <w:r w:rsidR="003268C9" w:rsidRPr="00815B3E">
        <w:rPr>
          <w:rFonts w:eastAsia="Calibri" w:cs="Times New Roman"/>
          <w:bCs/>
          <w:color w:val="000000" w:themeColor="text1"/>
          <w:szCs w:val="24"/>
        </w:rPr>
        <w:t xml:space="preserve"> </w:t>
      </w:r>
      <w:r w:rsidRPr="00815B3E">
        <w:rPr>
          <w:rFonts w:eastAsia="Calibri" w:cs="Times New Roman"/>
          <w:bCs/>
          <w:i/>
          <w:iCs/>
          <w:color w:val="000000" w:themeColor="text1"/>
          <w:szCs w:val="24"/>
        </w:rPr>
        <w:t xml:space="preserve">§ 14 A, stk. </w:t>
      </w:r>
      <w:r w:rsidR="001D35B8">
        <w:rPr>
          <w:rFonts w:eastAsia="Calibri" w:cs="Times New Roman"/>
          <w:bCs/>
          <w:i/>
          <w:iCs/>
          <w:color w:val="000000" w:themeColor="text1"/>
          <w:szCs w:val="24"/>
        </w:rPr>
        <w:t>4</w:t>
      </w:r>
      <w:r w:rsidRPr="00815B3E">
        <w:rPr>
          <w:rFonts w:eastAsia="Calibri" w:cs="Times New Roman"/>
          <w:bCs/>
          <w:i/>
          <w:iCs/>
          <w:color w:val="000000" w:themeColor="text1"/>
          <w:szCs w:val="24"/>
        </w:rPr>
        <w:t>,</w:t>
      </w:r>
      <w:r w:rsidRPr="00815B3E">
        <w:rPr>
          <w:rFonts w:eastAsia="Calibri" w:cs="Times New Roman"/>
          <w:bCs/>
          <w:color w:val="000000" w:themeColor="text1"/>
          <w:szCs w:val="24"/>
        </w:rPr>
        <w:t xml:space="preserve"> at a</w:t>
      </w:r>
      <w:r w:rsidR="00AE0619" w:rsidRPr="00815B3E">
        <w:rPr>
          <w:rFonts w:eastAsia="Calibri" w:cs="Times New Roman"/>
          <w:bCs/>
          <w:color w:val="000000" w:themeColor="text1"/>
          <w:szCs w:val="24"/>
        </w:rPr>
        <w:t xml:space="preserve">fstår en ejer af fast ejendom denne på sådanne vilkår, at der ved senere afståelse tilfalder ejeren et yderligere vederlag for ejendommen, </w:t>
      </w:r>
      <w:r w:rsidR="004A572F">
        <w:rPr>
          <w:rFonts w:eastAsia="Calibri" w:cs="Times New Roman"/>
          <w:bCs/>
          <w:color w:val="000000" w:themeColor="text1"/>
          <w:szCs w:val="24"/>
        </w:rPr>
        <w:t xml:space="preserve">skal </w:t>
      </w:r>
      <w:r w:rsidR="00AE0619" w:rsidRPr="00815B3E">
        <w:rPr>
          <w:rFonts w:eastAsia="Calibri" w:cs="Times New Roman"/>
          <w:bCs/>
          <w:color w:val="000000" w:themeColor="text1"/>
          <w:szCs w:val="24"/>
        </w:rPr>
        <w:t xml:space="preserve">dette yderligere vederlag </w:t>
      </w:r>
      <w:r w:rsidR="004A572F" w:rsidRPr="00815B3E">
        <w:rPr>
          <w:rFonts w:eastAsia="Calibri" w:cs="Times New Roman"/>
          <w:bCs/>
          <w:color w:val="000000" w:themeColor="text1"/>
          <w:szCs w:val="24"/>
        </w:rPr>
        <w:t xml:space="preserve">medregnes </w:t>
      </w:r>
      <w:r w:rsidR="00AE0619" w:rsidRPr="00815B3E">
        <w:rPr>
          <w:rFonts w:eastAsia="Calibri" w:cs="Times New Roman"/>
          <w:bCs/>
          <w:color w:val="000000" w:themeColor="text1"/>
          <w:szCs w:val="24"/>
        </w:rPr>
        <w:t>til den skattepligtige indkomst i det år, hvor retten til det yderligere vederlag erhverves.</w:t>
      </w:r>
      <w:r w:rsidR="00F326D5" w:rsidRPr="00815B3E">
        <w:rPr>
          <w:rFonts w:eastAsia="Calibri" w:cs="Times New Roman"/>
          <w:bCs/>
          <w:color w:val="000000" w:themeColor="text1"/>
          <w:szCs w:val="24"/>
        </w:rPr>
        <w:t xml:space="preserve"> </w:t>
      </w:r>
    </w:p>
    <w:p w14:paraId="738BA796" w14:textId="0B003ACA" w:rsidR="003268C9" w:rsidRPr="00815B3E" w:rsidRDefault="00F326D5" w:rsidP="0030496B">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En bestemmelse svarende til den foreslåede i </w:t>
      </w:r>
      <w:r w:rsidR="009C3102" w:rsidRPr="00815B3E">
        <w:rPr>
          <w:rFonts w:eastAsia="Calibri" w:cs="Times New Roman"/>
          <w:bCs/>
          <w:color w:val="000000" w:themeColor="text1"/>
          <w:szCs w:val="24"/>
        </w:rPr>
        <w:t>ejendomsavancebeskatningsloven</w:t>
      </w:r>
      <w:r w:rsidRPr="00815B3E">
        <w:rPr>
          <w:rFonts w:eastAsia="Calibri" w:cs="Times New Roman"/>
          <w:bCs/>
          <w:color w:val="000000" w:themeColor="text1"/>
          <w:szCs w:val="24"/>
        </w:rPr>
        <w:t xml:space="preserve"> § 14 A, stk. 3, gælder allerede i dag for realisationsbeskattede ejendomme, jf. </w:t>
      </w:r>
      <w:r w:rsidR="009C3102" w:rsidRPr="00815B3E">
        <w:rPr>
          <w:rFonts w:eastAsia="Calibri" w:cs="Times New Roman"/>
          <w:bCs/>
          <w:color w:val="000000" w:themeColor="text1"/>
          <w:szCs w:val="24"/>
        </w:rPr>
        <w:t>ejendomsavancebeskatningsloven</w:t>
      </w:r>
      <w:r w:rsidRPr="00815B3E">
        <w:rPr>
          <w:rFonts w:eastAsia="Calibri" w:cs="Times New Roman"/>
          <w:bCs/>
          <w:color w:val="000000" w:themeColor="text1"/>
          <w:szCs w:val="24"/>
        </w:rPr>
        <w:t xml:space="preserve"> § 13. Den foreslåede bestemmelse skal fortolkes i overensstemmelse med </w:t>
      </w:r>
      <w:r w:rsidR="0089721D">
        <w:rPr>
          <w:rFonts w:eastAsia="Calibri" w:cs="Times New Roman"/>
          <w:bCs/>
          <w:color w:val="000000" w:themeColor="text1"/>
          <w:szCs w:val="24"/>
        </w:rPr>
        <w:t xml:space="preserve">den </w:t>
      </w:r>
      <w:r w:rsidRPr="00815B3E">
        <w:rPr>
          <w:rFonts w:eastAsia="Calibri" w:cs="Times New Roman"/>
          <w:bCs/>
          <w:color w:val="000000" w:themeColor="text1"/>
          <w:szCs w:val="24"/>
        </w:rPr>
        <w:t>allerede gældende bestemmelse.</w:t>
      </w:r>
      <w:r w:rsidR="008A1EA8" w:rsidRPr="00815B3E">
        <w:rPr>
          <w:rFonts w:eastAsia="Calibri" w:cs="Times New Roman"/>
          <w:bCs/>
          <w:color w:val="000000" w:themeColor="text1"/>
          <w:szCs w:val="24"/>
        </w:rPr>
        <w:t xml:space="preserve"> </w:t>
      </w:r>
    </w:p>
    <w:p w14:paraId="3A23DB90" w14:textId="56553370" w:rsidR="00AE0619" w:rsidRPr="00815B3E" w:rsidRDefault="00F326D5" w:rsidP="0030496B">
      <w:pPr>
        <w:spacing w:after="240"/>
        <w:rPr>
          <w:rFonts w:eastAsia="Calibri" w:cs="Times New Roman"/>
          <w:bCs/>
          <w:color w:val="000000" w:themeColor="text1"/>
          <w:szCs w:val="24"/>
        </w:rPr>
      </w:pPr>
      <w:r w:rsidRPr="00815B3E">
        <w:rPr>
          <w:rFonts w:eastAsia="Calibri" w:cs="Times New Roman"/>
          <w:bCs/>
          <w:color w:val="000000" w:themeColor="text1"/>
          <w:szCs w:val="24"/>
        </w:rPr>
        <w:t>Bestemmelsen indebærer f.eks., at h</w:t>
      </w:r>
      <w:r w:rsidR="003268C9" w:rsidRPr="00815B3E">
        <w:rPr>
          <w:rFonts w:eastAsia="Calibri" w:cs="Times New Roman"/>
          <w:bCs/>
          <w:color w:val="000000" w:themeColor="text1"/>
          <w:szCs w:val="24"/>
        </w:rPr>
        <w:t>vis der ved salg af en ejendom er indgået</w:t>
      </w:r>
      <w:r w:rsidR="008A1EA8" w:rsidRPr="00815B3E">
        <w:rPr>
          <w:rFonts w:eastAsia="Calibri" w:cs="Times New Roman"/>
          <w:bCs/>
          <w:color w:val="000000" w:themeColor="text1"/>
          <w:szCs w:val="24"/>
        </w:rPr>
        <w:t xml:space="preserve"> en videresalgsklausul, hvor</w:t>
      </w:r>
      <w:r w:rsidR="003268C9" w:rsidRPr="00815B3E">
        <w:rPr>
          <w:rFonts w:eastAsia="Calibri" w:cs="Times New Roman"/>
          <w:bCs/>
          <w:color w:val="000000" w:themeColor="text1"/>
          <w:szCs w:val="24"/>
        </w:rPr>
        <w:t>efter</w:t>
      </w:r>
      <w:r w:rsidR="008A1EA8" w:rsidRPr="00815B3E">
        <w:rPr>
          <w:rFonts w:eastAsia="Calibri" w:cs="Times New Roman"/>
          <w:bCs/>
          <w:color w:val="000000" w:themeColor="text1"/>
          <w:szCs w:val="24"/>
        </w:rPr>
        <w:t xml:space="preserve"> </w:t>
      </w:r>
      <w:r w:rsidR="003268C9" w:rsidRPr="00815B3E">
        <w:rPr>
          <w:rFonts w:eastAsia="Calibri" w:cs="Times New Roman"/>
          <w:bCs/>
          <w:color w:val="000000" w:themeColor="text1"/>
          <w:szCs w:val="24"/>
        </w:rPr>
        <w:t xml:space="preserve">den oprindelige sælger vil </w:t>
      </w:r>
      <w:r w:rsidR="008A1EA8" w:rsidRPr="00815B3E">
        <w:rPr>
          <w:rFonts w:eastAsia="Calibri" w:cs="Times New Roman"/>
          <w:bCs/>
          <w:color w:val="000000" w:themeColor="text1"/>
          <w:szCs w:val="24"/>
        </w:rPr>
        <w:t>modtage</w:t>
      </w:r>
      <w:r w:rsidR="003268C9" w:rsidRPr="00815B3E">
        <w:rPr>
          <w:rFonts w:eastAsia="Calibri" w:cs="Times New Roman"/>
          <w:bCs/>
          <w:color w:val="000000" w:themeColor="text1"/>
          <w:szCs w:val="24"/>
        </w:rPr>
        <w:t xml:space="preserve"> et yderligere beløb</w:t>
      </w:r>
      <w:r w:rsidRPr="00815B3E">
        <w:rPr>
          <w:rFonts w:eastAsia="Calibri" w:cs="Times New Roman"/>
          <w:bCs/>
          <w:color w:val="000000" w:themeColor="text1"/>
          <w:szCs w:val="24"/>
        </w:rPr>
        <w:t xml:space="preserve"> ved købers </w:t>
      </w:r>
      <w:r w:rsidR="003268C9" w:rsidRPr="00815B3E">
        <w:rPr>
          <w:rFonts w:eastAsia="Calibri" w:cs="Times New Roman"/>
          <w:bCs/>
          <w:color w:val="000000" w:themeColor="text1"/>
          <w:szCs w:val="24"/>
        </w:rPr>
        <w:t>videresalg</w:t>
      </w:r>
      <w:r w:rsidRPr="00815B3E">
        <w:rPr>
          <w:rFonts w:eastAsia="Calibri" w:cs="Times New Roman"/>
          <w:bCs/>
          <w:color w:val="000000" w:themeColor="text1"/>
          <w:szCs w:val="24"/>
        </w:rPr>
        <w:t xml:space="preserve"> af ejendommen, så vil </w:t>
      </w:r>
      <w:r w:rsidR="008A1EA8" w:rsidRPr="00815B3E">
        <w:rPr>
          <w:rFonts w:eastAsia="Calibri" w:cs="Times New Roman"/>
          <w:bCs/>
          <w:color w:val="000000" w:themeColor="text1"/>
          <w:szCs w:val="24"/>
        </w:rPr>
        <w:t>dette</w:t>
      </w:r>
      <w:r w:rsidRPr="00815B3E">
        <w:rPr>
          <w:rFonts w:eastAsia="Calibri" w:cs="Times New Roman"/>
          <w:bCs/>
          <w:color w:val="000000" w:themeColor="text1"/>
          <w:szCs w:val="24"/>
        </w:rPr>
        <w:t xml:space="preserve"> yderligere</w:t>
      </w:r>
      <w:r w:rsidR="008A1EA8" w:rsidRPr="00815B3E">
        <w:rPr>
          <w:rFonts w:eastAsia="Calibri" w:cs="Times New Roman"/>
          <w:bCs/>
          <w:color w:val="000000" w:themeColor="text1"/>
          <w:szCs w:val="24"/>
        </w:rPr>
        <w:t xml:space="preserve"> vederlag</w:t>
      </w:r>
      <w:r w:rsidRPr="00815B3E">
        <w:rPr>
          <w:rFonts w:eastAsia="Calibri" w:cs="Times New Roman"/>
          <w:bCs/>
          <w:color w:val="000000" w:themeColor="text1"/>
          <w:szCs w:val="24"/>
        </w:rPr>
        <w:t xml:space="preserve"> skulle medregnes</w:t>
      </w:r>
      <w:r w:rsidR="008A1EA8" w:rsidRPr="00815B3E">
        <w:rPr>
          <w:rFonts w:eastAsia="Calibri" w:cs="Times New Roman"/>
          <w:bCs/>
          <w:color w:val="000000" w:themeColor="text1"/>
          <w:szCs w:val="24"/>
        </w:rPr>
        <w:t xml:space="preserve"> til den skattepligtige indkomst</w:t>
      </w:r>
      <w:r w:rsidRPr="00815B3E">
        <w:rPr>
          <w:rFonts w:eastAsia="Calibri" w:cs="Times New Roman"/>
          <w:bCs/>
          <w:color w:val="000000" w:themeColor="text1"/>
          <w:szCs w:val="24"/>
        </w:rPr>
        <w:t xml:space="preserve"> hos den oprindelige sælger</w:t>
      </w:r>
      <w:r w:rsidR="008A1EA8" w:rsidRPr="00815B3E">
        <w:rPr>
          <w:rFonts w:eastAsia="Calibri" w:cs="Times New Roman"/>
          <w:bCs/>
          <w:color w:val="000000" w:themeColor="text1"/>
          <w:szCs w:val="24"/>
        </w:rPr>
        <w:t xml:space="preserve"> i det indkomstår, hvor retten til det yderligere vederlag erhverves</w:t>
      </w:r>
      <w:r w:rsidRPr="00815B3E">
        <w:rPr>
          <w:rFonts w:eastAsia="Calibri" w:cs="Times New Roman"/>
          <w:bCs/>
          <w:color w:val="000000" w:themeColor="text1"/>
          <w:szCs w:val="24"/>
        </w:rPr>
        <w:t>, dvs.</w:t>
      </w:r>
      <w:r w:rsidR="008A1EA8" w:rsidRPr="00815B3E">
        <w:rPr>
          <w:rFonts w:eastAsia="Calibri" w:cs="Times New Roman"/>
          <w:bCs/>
          <w:color w:val="000000" w:themeColor="text1"/>
          <w:szCs w:val="24"/>
        </w:rPr>
        <w:t xml:space="preserve"> typisk ved </w:t>
      </w:r>
      <w:r w:rsidR="0035665E" w:rsidRPr="00815B3E">
        <w:rPr>
          <w:rFonts w:eastAsia="Calibri" w:cs="Times New Roman"/>
          <w:bCs/>
          <w:color w:val="000000" w:themeColor="text1"/>
          <w:szCs w:val="24"/>
        </w:rPr>
        <w:t>videresalget</w:t>
      </w:r>
      <w:r w:rsidR="008A1EA8" w:rsidRPr="00815B3E">
        <w:rPr>
          <w:rFonts w:eastAsia="Calibri" w:cs="Times New Roman"/>
          <w:bCs/>
          <w:color w:val="000000" w:themeColor="text1"/>
          <w:szCs w:val="24"/>
        </w:rPr>
        <w:t xml:space="preserve"> af ejendommen.</w:t>
      </w:r>
    </w:p>
    <w:p w14:paraId="637D2190" w14:textId="060C97E5" w:rsidR="00F326D5" w:rsidRPr="00815B3E" w:rsidRDefault="0030496B" w:rsidP="0030496B">
      <w:pPr>
        <w:spacing w:after="240"/>
        <w:rPr>
          <w:rFonts w:eastAsia="Calibri" w:cs="Times New Roman"/>
          <w:bCs/>
          <w:color w:val="000000" w:themeColor="text1"/>
          <w:szCs w:val="24"/>
        </w:rPr>
      </w:pPr>
      <w:r w:rsidRPr="00815B3E">
        <w:rPr>
          <w:rFonts w:eastAsia="Calibri" w:cs="Times New Roman"/>
          <w:bCs/>
          <w:color w:val="000000" w:themeColor="text1"/>
          <w:szCs w:val="24"/>
        </w:rPr>
        <w:lastRenderedPageBreak/>
        <w:t xml:space="preserve">Det foreslås i </w:t>
      </w:r>
      <w:r w:rsidRPr="00815B3E">
        <w:rPr>
          <w:rFonts w:eastAsia="Calibri" w:cs="Times New Roman"/>
          <w:bCs/>
          <w:i/>
          <w:iCs/>
          <w:color w:val="000000" w:themeColor="text1"/>
          <w:szCs w:val="24"/>
        </w:rPr>
        <w:t xml:space="preserve">§ 14 A, stk. </w:t>
      </w:r>
      <w:r w:rsidR="001D35B8">
        <w:rPr>
          <w:rFonts w:eastAsia="Calibri" w:cs="Times New Roman"/>
          <w:bCs/>
          <w:i/>
          <w:iCs/>
          <w:color w:val="000000" w:themeColor="text1"/>
          <w:szCs w:val="24"/>
        </w:rPr>
        <w:t>5</w:t>
      </w:r>
      <w:r w:rsidRPr="00815B3E">
        <w:rPr>
          <w:rFonts w:eastAsia="Calibri" w:cs="Times New Roman"/>
          <w:bCs/>
          <w:color w:val="000000" w:themeColor="text1"/>
          <w:szCs w:val="24"/>
        </w:rPr>
        <w:t>, at v</w:t>
      </w:r>
      <w:r w:rsidR="00AE0619" w:rsidRPr="00815B3E">
        <w:rPr>
          <w:rFonts w:eastAsia="Calibri" w:cs="Times New Roman"/>
          <w:bCs/>
          <w:color w:val="000000" w:themeColor="text1"/>
          <w:szCs w:val="24"/>
        </w:rPr>
        <w:t xml:space="preserve">ed opgørelsen af den skattepligtige indkomst </w:t>
      </w:r>
      <w:r w:rsidR="00A474CC">
        <w:rPr>
          <w:rFonts w:eastAsia="Calibri" w:cs="Times New Roman"/>
          <w:bCs/>
          <w:color w:val="000000" w:themeColor="text1"/>
          <w:szCs w:val="24"/>
        </w:rPr>
        <w:t>skal</w:t>
      </w:r>
      <w:r w:rsidR="00A474CC" w:rsidRPr="00815B3E">
        <w:rPr>
          <w:rFonts w:eastAsia="Calibri" w:cs="Times New Roman"/>
          <w:bCs/>
          <w:color w:val="000000" w:themeColor="text1"/>
          <w:szCs w:val="24"/>
        </w:rPr>
        <w:t xml:space="preserve"> </w:t>
      </w:r>
      <w:r w:rsidR="00AE0619" w:rsidRPr="00815B3E">
        <w:rPr>
          <w:rFonts w:eastAsia="Calibri" w:cs="Times New Roman"/>
          <w:bCs/>
          <w:color w:val="000000" w:themeColor="text1"/>
          <w:szCs w:val="24"/>
        </w:rPr>
        <w:t xml:space="preserve">udgifter, der er afholdt til forbedring og vedligeholdelse af ejendommen, </w:t>
      </w:r>
      <w:r w:rsidR="00A474CC">
        <w:rPr>
          <w:rFonts w:eastAsia="Calibri" w:cs="Times New Roman"/>
          <w:bCs/>
          <w:color w:val="000000" w:themeColor="text1"/>
          <w:szCs w:val="24"/>
        </w:rPr>
        <w:t xml:space="preserve">kunne </w:t>
      </w:r>
      <w:r w:rsidR="00AE0619" w:rsidRPr="00815B3E">
        <w:rPr>
          <w:rFonts w:eastAsia="Calibri" w:cs="Times New Roman"/>
          <w:bCs/>
          <w:color w:val="000000" w:themeColor="text1"/>
          <w:szCs w:val="24"/>
        </w:rPr>
        <w:t>fratrækkes.</w:t>
      </w:r>
      <w:r w:rsidRPr="00815B3E">
        <w:rPr>
          <w:rFonts w:eastAsia="Calibri" w:cs="Times New Roman"/>
          <w:bCs/>
          <w:color w:val="000000" w:themeColor="text1"/>
          <w:szCs w:val="24"/>
        </w:rPr>
        <w:t xml:space="preserve"> </w:t>
      </w:r>
    </w:p>
    <w:p w14:paraId="32B9FAB4" w14:textId="154244F4" w:rsidR="0030496B" w:rsidRPr="00815B3E" w:rsidRDefault="005946D1" w:rsidP="0030496B">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Efter forslaget vil </w:t>
      </w:r>
      <w:r w:rsidR="0030496B" w:rsidRPr="00815B3E">
        <w:rPr>
          <w:rFonts w:eastAsia="Calibri" w:cs="Times New Roman"/>
          <w:bCs/>
          <w:color w:val="000000" w:themeColor="text1"/>
          <w:szCs w:val="24"/>
        </w:rPr>
        <w:t>udgifter til forbedring</w:t>
      </w:r>
      <w:r w:rsidRPr="00815B3E">
        <w:rPr>
          <w:rFonts w:eastAsia="Calibri" w:cs="Times New Roman"/>
          <w:bCs/>
          <w:color w:val="000000" w:themeColor="text1"/>
          <w:szCs w:val="24"/>
        </w:rPr>
        <w:t xml:space="preserve"> af en ejendom</w:t>
      </w:r>
      <w:r w:rsidR="0030496B" w:rsidRPr="00815B3E">
        <w:rPr>
          <w:rFonts w:eastAsia="Calibri" w:cs="Times New Roman"/>
          <w:bCs/>
          <w:color w:val="000000" w:themeColor="text1"/>
          <w:szCs w:val="24"/>
        </w:rPr>
        <w:t xml:space="preserve">, der samtidig må antages at </w:t>
      </w:r>
      <w:r w:rsidRPr="00815B3E">
        <w:rPr>
          <w:rFonts w:eastAsia="Calibri" w:cs="Times New Roman"/>
          <w:bCs/>
          <w:color w:val="000000" w:themeColor="text1"/>
          <w:szCs w:val="24"/>
        </w:rPr>
        <w:t>for</w:t>
      </w:r>
      <w:r w:rsidR="0030496B" w:rsidRPr="00815B3E">
        <w:rPr>
          <w:rFonts w:eastAsia="Calibri" w:cs="Times New Roman"/>
          <w:bCs/>
          <w:color w:val="000000" w:themeColor="text1"/>
          <w:szCs w:val="24"/>
        </w:rPr>
        <w:t xml:space="preserve">øge handelsværdien </w:t>
      </w:r>
      <w:r w:rsidRPr="00815B3E">
        <w:rPr>
          <w:rFonts w:eastAsia="Calibri" w:cs="Times New Roman"/>
          <w:bCs/>
          <w:color w:val="000000" w:themeColor="text1"/>
          <w:szCs w:val="24"/>
        </w:rPr>
        <w:t>af</w:t>
      </w:r>
      <w:r w:rsidR="0030496B" w:rsidRPr="00815B3E">
        <w:rPr>
          <w:rFonts w:eastAsia="Calibri" w:cs="Times New Roman"/>
          <w:bCs/>
          <w:color w:val="000000" w:themeColor="text1"/>
          <w:szCs w:val="24"/>
        </w:rPr>
        <w:t xml:space="preserve"> ejendommen, </w:t>
      </w:r>
      <w:r w:rsidRPr="00815B3E">
        <w:rPr>
          <w:rFonts w:eastAsia="Calibri" w:cs="Times New Roman"/>
          <w:bCs/>
          <w:color w:val="000000" w:themeColor="text1"/>
          <w:szCs w:val="24"/>
        </w:rPr>
        <w:t xml:space="preserve">kunne </w:t>
      </w:r>
      <w:r w:rsidR="0030496B" w:rsidRPr="00815B3E">
        <w:rPr>
          <w:rFonts w:eastAsia="Calibri" w:cs="Times New Roman"/>
          <w:bCs/>
          <w:color w:val="000000" w:themeColor="text1"/>
          <w:szCs w:val="24"/>
        </w:rPr>
        <w:t xml:space="preserve">fratrækkes </w:t>
      </w:r>
      <w:r w:rsidRPr="00815B3E">
        <w:rPr>
          <w:rFonts w:eastAsia="Calibri" w:cs="Times New Roman"/>
          <w:bCs/>
          <w:color w:val="000000" w:themeColor="text1"/>
          <w:szCs w:val="24"/>
        </w:rPr>
        <w:t xml:space="preserve">i </w:t>
      </w:r>
      <w:r w:rsidR="0030496B" w:rsidRPr="00815B3E">
        <w:rPr>
          <w:rFonts w:eastAsia="Calibri" w:cs="Times New Roman"/>
          <w:bCs/>
          <w:color w:val="000000" w:themeColor="text1"/>
          <w:szCs w:val="24"/>
        </w:rPr>
        <w:t xml:space="preserve">den skattepligtige indkomst. </w:t>
      </w:r>
      <w:r w:rsidR="00260103" w:rsidRPr="00815B3E">
        <w:rPr>
          <w:rFonts w:eastAsia="Calibri" w:cs="Times New Roman"/>
          <w:bCs/>
          <w:color w:val="000000" w:themeColor="text1"/>
          <w:szCs w:val="24"/>
        </w:rPr>
        <w:t xml:space="preserve">Det forudsættes i denne forbindelse, at forbedringsarbejder indregnes i ejendommens værdi ved den løbende værdiansættelse af ejendommen. </w:t>
      </w:r>
    </w:p>
    <w:p w14:paraId="33B98C15" w14:textId="4ECCBE6B" w:rsidR="005946D1" w:rsidRPr="00815B3E" w:rsidRDefault="005946D1" w:rsidP="0030496B">
      <w:pPr>
        <w:spacing w:after="240"/>
        <w:rPr>
          <w:rFonts w:eastAsia="Calibri" w:cs="Times New Roman"/>
          <w:bCs/>
          <w:color w:val="000000" w:themeColor="text1"/>
          <w:szCs w:val="24"/>
        </w:rPr>
      </w:pPr>
      <w:r w:rsidRPr="00815B3E">
        <w:rPr>
          <w:rFonts w:eastAsia="Calibri" w:cs="Times New Roman"/>
          <w:bCs/>
          <w:color w:val="000000" w:themeColor="text1"/>
          <w:szCs w:val="24"/>
        </w:rPr>
        <w:t>Udgifter til vedligeholdelse af en erhvervsmæssigt benyttet ejendom betragtes efter de gældende regler normalt som fuldt fradragsberettigede driftsomkostninger. Udgifter til ombygning og forbedring af ejendomme kan derimod normalt ikke fratrækkes, men skal tillægges ejendommens anskaffelsessum og kan eventuelt afskrives efter reglerne i afskrivningsloven.</w:t>
      </w:r>
    </w:p>
    <w:p w14:paraId="13B43CA5" w14:textId="236C0610" w:rsidR="005946D1" w:rsidRPr="00815B3E" w:rsidRDefault="005946D1" w:rsidP="0030496B">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Baggrunden for forslaget i </w:t>
      </w:r>
      <w:r w:rsidR="009C3102" w:rsidRPr="00815B3E">
        <w:rPr>
          <w:rFonts w:eastAsia="Calibri" w:cs="Times New Roman"/>
          <w:bCs/>
          <w:color w:val="000000" w:themeColor="text1"/>
          <w:szCs w:val="24"/>
        </w:rPr>
        <w:t>ejendomsavancebeskatningsloven</w:t>
      </w:r>
      <w:r w:rsidRPr="00815B3E">
        <w:rPr>
          <w:rFonts w:eastAsia="Calibri" w:cs="Times New Roman"/>
          <w:bCs/>
          <w:color w:val="000000" w:themeColor="text1"/>
          <w:szCs w:val="24"/>
        </w:rPr>
        <w:t xml:space="preserve"> § 14 A, stk. </w:t>
      </w:r>
      <w:r w:rsidR="001D35B8">
        <w:rPr>
          <w:rFonts w:eastAsia="Calibri" w:cs="Times New Roman"/>
          <w:bCs/>
          <w:color w:val="000000" w:themeColor="text1"/>
          <w:szCs w:val="24"/>
        </w:rPr>
        <w:t>5</w:t>
      </w:r>
      <w:r w:rsidRPr="00815B3E">
        <w:rPr>
          <w:rFonts w:eastAsia="Calibri" w:cs="Times New Roman"/>
          <w:bCs/>
          <w:color w:val="000000" w:themeColor="text1"/>
          <w:szCs w:val="24"/>
        </w:rPr>
        <w:t xml:space="preserve">, er, at den foreslåede lagerbeskatning bygger på, at løbende værdistigninger beskattes. Når en ejendom forbedres, må det således antages, at de afholdte udgifter fører til en stigning i ejendommens handelsværdi, som fører til beskatning efter lagerprincippet. Det er derfor fundet rimeligt, at de udgifter, der medgår til </w:t>
      </w:r>
      <w:r w:rsidR="00F40675" w:rsidRPr="00815B3E">
        <w:rPr>
          <w:rFonts w:eastAsia="Calibri" w:cs="Times New Roman"/>
          <w:bCs/>
          <w:color w:val="000000" w:themeColor="text1"/>
          <w:szCs w:val="24"/>
        </w:rPr>
        <w:t xml:space="preserve">en skattepligtig stigning </w:t>
      </w:r>
      <w:r w:rsidR="00260103" w:rsidRPr="00815B3E">
        <w:rPr>
          <w:rFonts w:eastAsia="Calibri" w:cs="Times New Roman"/>
          <w:bCs/>
          <w:color w:val="000000" w:themeColor="text1"/>
          <w:szCs w:val="24"/>
        </w:rPr>
        <w:t>af</w:t>
      </w:r>
      <w:r w:rsidR="00F40675" w:rsidRPr="00815B3E">
        <w:rPr>
          <w:rFonts w:eastAsia="Calibri" w:cs="Times New Roman"/>
          <w:bCs/>
          <w:color w:val="000000" w:themeColor="text1"/>
          <w:szCs w:val="24"/>
        </w:rPr>
        <w:t xml:space="preserve"> ejendommens værdi, kan fratrækkes skattemæssigt.</w:t>
      </w:r>
      <w:r w:rsidRPr="00815B3E">
        <w:rPr>
          <w:rFonts w:eastAsia="Calibri" w:cs="Times New Roman"/>
          <w:bCs/>
          <w:color w:val="000000" w:themeColor="text1"/>
          <w:szCs w:val="24"/>
        </w:rPr>
        <w:t xml:space="preserve">   </w:t>
      </w:r>
    </w:p>
    <w:p w14:paraId="322DF5B3" w14:textId="0B438900" w:rsidR="00F326D5" w:rsidRPr="00815B3E" w:rsidRDefault="00F40675" w:rsidP="00673631">
      <w:pPr>
        <w:spacing w:after="240"/>
        <w:rPr>
          <w:rFonts w:eastAsia="Calibri" w:cs="Times New Roman"/>
          <w:bCs/>
          <w:color w:val="000000" w:themeColor="text1"/>
          <w:szCs w:val="24"/>
        </w:rPr>
      </w:pPr>
      <w:r w:rsidRPr="00815B3E">
        <w:rPr>
          <w:rFonts w:eastAsia="Calibri" w:cs="Times New Roman"/>
          <w:bCs/>
          <w:color w:val="000000" w:themeColor="text1"/>
          <w:szCs w:val="24"/>
        </w:rPr>
        <w:t>Den foreslåede bestemmelse skal også</w:t>
      </w:r>
      <w:r w:rsidR="0030496B" w:rsidRPr="00815B3E">
        <w:rPr>
          <w:rFonts w:eastAsia="Calibri" w:cs="Times New Roman"/>
          <w:bCs/>
          <w:color w:val="000000" w:themeColor="text1"/>
          <w:szCs w:val="24"/>
        </w:rPr>
        <w:t xml:space="preserve"> ses i sammenhæng med lovforslagets</w:t>
      </w:r>
      <w:r w:rsidRPr="00815B3E">
        <w:rPr>
          <w:rFonts w:eastAsia="Calibri" w:cs="Times New Roman"/>
          <w:bCs/>
          <w:color w:val="000000" w:themeColor="text1"/>
          <w:szCs w:val="24"/>
        </w:rPr>
        <w:t xml:space="preserve"> § 1, nr. 1, </w:t>
      </w:r>
      <w:r w:rsidR="0030496B" w:rsidRPr="00815B3E">
        <w:rPr>
          <w:rFonts w:eastAsia="Calibri" w:cs="Times New Roman"/>
          <w:bCs/>
          <w:color w:val="000000" w:themeColor="text1"/>
          <w:szCs w:val="24"/>
        </w:rPr>
        <w:t xml:space="preserve">hvorefter der ikke </w:t>
      </w:r>
      <w:r w:rsidRPr="00815B3E">
        <w:rPr>
          <w:rFonts w:eastAsia="Calibri" w:cs="Times New Roman"/>
          <w:bCs/>
          <w:color w:val="000000" w:themeColor="text1"/>
          <w:szCs w:val="24"/>
        </w:rPr>
        <w:t>vil kunne</w:t>
      </w:r>
      <w:r w:rsidR="0030496B" w:rsidRPr="00815B3E">
        <w:rPr>
          <w:rFonts w:eastAsia="Calibri" w:cs="Times New Roman"/>
          <w:bCs/>
          <w:color w:val="000000" w:themeColor="text1"/>
          <w:szCs w:val="24"/>
        </w:rPr>
        <w:t xml:space="preserve"> foretages skattemæssig afskrivning på udgifter til anskaffelse eller forbedring af aktiver vedrørende ejendomme, der lagerbeskattes efter</w:t>
      </w:r>
      <w:r w:rsidRPr="00815B3E">
        <w:rPr>
          <w:rFonts w:eastAsia="Calibri" w:cs="Times New Roman"/>
          <w:bCs/>
          <w:color w:val="000000" w:themeColor="text1"/>
          <w:szCs w:val="24"/>
        </w:rPr>
        <w:t xml:space="preserve"> forslaget til</w:t>
      </w:r>
      <w:r w:rsidR="0030496B" w:rsidRPr="00815B3E">
        <w:rPr>
          <w:rFonts w:eastAsia="Calibri" w:cs="Times New Roman"/>
          <w:bCs/>
          <w:color w:val="000000" w:themeColor="text1"/>
          <w:szCs w:val="24"/>
        </w:rPr>
        <w:t xml:space="preserve"> ejendomsavancebeskatningslovens kapitel 3</w:t>
      </w:r>
      <w:r w:rsidRPr="00815B3E">
        <w:rPr>
          <w:rFonts w:eastAsia="Calibri" w:cs="Times New Roman"/>
          <w:bCs/>
          <w:color w:val="000000" w:themeColor="text1"/>
          <w:szCs w:val="24"/>
        </w:rPr>
        <w:t>.</w:t>
      </w:r>
    </w:p>
    <w:p w14:paraId="618F2DD9" w14:textId="2B8EB02B" w:rsidR="005946D1" w:rsidRPr="00815B3E" w:rsidRDefault="00F40675" w:rsidP="00673631">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Det foreslås således, at </w:t>
      </w:r>
      <w:r w:rsidR="0030496B" w:rsidRPr="00815B3E">
        <w:rPr>
          <w:rFonts w:eastAsia="Calibri" w:cs="Times New Roman"/>
          <w:bCs/>
          <w:color w:val="000000" w:themeColor="text1"/>
          <w:szCs w:val="24"/>
        </w:rPr>
        <w:t xml:space="preserve">afskrivningsadgangen fjernes på udgifter til anskaffelse </w:t>
      </w:r>
      <w:r w:rsidR="00F326D5" w:rsidRPr="00815B3E">
        <w:rPr>
          <w:rFonts w:eastAsia="Calibri" w:cs="Times New Roman"/>
          <w:bCs/>
          <w:color w:val="000000" w:themeColor="text1"/>
          <w:szCs w:val="24"/>
        </w:rPr>
        <w:t>og</w:t>
      </w:r>
      <w:r w:rsidR="0030496B" w:rsidRPr="00815B3E">
        <w:rPr>
          <w:rFonts w:eastAsia="Calibri" w:cs="Times New Roman"/>
          <w:bCs/>
          <w:color w:val="000000" w:themeColor="text1"/>
          <w:szCs w:val="24"/>
        </w:rPr>
        <w:t xml:space="preserve"> forbedring af aktiver vedrørende lagerbeskattede ejendomme, men </w:t>
      </w:r>
      <w:r w:rsidR="00F326D5" w:rsidRPr="00815B3E">
        <w:rPr>
          <w:rFonts w:eastAsia="Calibri" w:cs="Times New Roman"/>
          <w:bCs/>
          <w:color w:val="000000" w:themeColor="text1"/>
          <w:szCs w:val="24"/>
        </w:rPr>
        <w:t>til gengæld foreslås det at indføre</w:t>
      </w:r>
      <w:r w:rsidR="0030496B" w:rsidRPr="00815B3E">
        <w:rPr>
          <w:rFonts w:eastAsia="Calibri" w:cs="Times New Roman"/>
          <w:bCs/>
          <w:color w:val="000000" w:themeColor="text1"/>
          <w:szCs w:val="24"/>
        </w:rPr>
        <w:t xml:space="preserve"> adgang til at fradrage udgifter</w:t>
      </w:r>
      <w:r w:rsidR="00F326D5" w:rsidRPr="00815B3E">
        <w:rPr>
          <w:rFonts w:eastAsia="Calibri" w:cs="Times New Roman"/>
          <w:bCs/>
          <w:color w:val="000000" w:themeColor="text1"/>
          <w:szCs w:val="24"/>
        </w:rPr>
        <w:t xml:space="preserve">ne ved opgørelsen af </w:t>
      </w:r>
      <w:r w:rsidR="0030496B" w:rsidRPr="00815B3E">
        <w:rPr>
          <w:rFonts w:eastAsia="Calibri" w:cs="Times New Roman"/>
          <w:bCs/>
          <w:color w:val="000000" w:themeColor="text1"/>
          <w:szCs w:val="24"/>
        </w:rPr>
        <w:t>den skattepligtige indkomst</w:t>
      </w:r>
      <w:r w:rsidR="005946D1" w:rsidRPr="00815B3E">
        <w:rPr>
          <w:rFonts w:eastAsia="Calibri" w:cs="Times New Roman"/>
          <w:bCs/>
          <w:color w:val="000000" w:themeColor="text1"/>
          <w:szCs w:val="24"/>
        </w:rPr>
        <w:t xml:space="preserve">. </w:t>
      </w:r>
    </w:p>
    <w:p w14:paraId="09FEC0CB" w14:textId="123E0AE0" w:rsidR="00F97AE3" w:rsidRPr="00815B3E" w:rsidRDefault="00F40675" w:rsidP="00673631">
      <w:pPr>
        <w:spacing w:after="240"/>
        <w:rPr>
          <w:rFonts w:eastAsia="Calibri" w:cs="Times New Roman"/>
          <w:bCs/>
          <w:color w:val="000000" w:themeColor="text1"/>
          <w:szCs w:val="24"/>
        </w:rPr>
      </w:pPr>
      <w:r w:rsidRPr="00815B3E">
        <w:rPr>
          <w:rFonts w:eastAsia="Calibri" w:cs="Times New Roman"/>
          <w:bCs/>
          <w:color w:val="000000" w:themeColor="text1"/>
          <w:szCs w:val="24"/>
        </w:rPr>
        <w:t>Det</w:t>
      </w:r>
      <w:r w:rsidR="0030496B" w:rsidRPr="00815B3E">
        <w:rPr>
          <w:rFonts w:eastAsia="Calibri" w:cs="Times New Roman"/>
          <w:bCs/>
          <w:color w:val="000000" w:themeColor="text1"/>
          <w:szCs w:val="24"/>
        </w:rPr>
        <w:t xml:space="preserve"> antages, at </w:t>
      </w:r>
      <w:r w:rsidRPr="00815B3E">
        <w:rPr>
          <w:rFonts w:eastAsia="Calibri" w:cs="Times New Roman"/>
          <w:bCs/>
          <w:color w:val="000000" w:themeColor="text1"/>
          <w:szCs w:val="24"/>
        </w:rPr>
        <w:t xml:space="preserve">afholdte </w:t>
      </w:r>
      <w:r w:rsidR="0030496B" w:rsidRPr="00815B3E">
        <w:rPr>
          <w:rFonts w:eastAsia="Calibri" w:cs="Times New Roman"/>
          <w:bCs/>
          <w:color w:val="000000" w:themeColor="text1"/>
          <w:szCs w:val="24"/>
        </w:rPr>
        <w:t>udgifter</w:t>
      </w:r>
      <w:r w:rsidRPr="00815B3E">
        <w:rPr>
          <w:rFonts w:eastAsia="Calibri" w:cs="Times New Roman"/>
          <w:bCs/>
          <w:color w:val="000000" w:themeColor="text1"/>
          <w:szCs w:val="24"/>
        </w:rPr>
        <w:t xml:space="preserve"> vedrørende en ejendom vil </w:t>
      </w:r>
      <w:r w:rsidR="0030496B" w:rsidRPr="00815B3E">
        <w:rPr>
          <w:rFonts w:eastAsia="Calibri" w:cs="Times New Roman"/>
          <w:bCs/>
          <w:color w:val="000000" w:themeColor="text1"/>
          <w:szCs w:val="24"/>
        </w:rPr>
        <w:t>øge handelsværdien af ejendommen og dermed også beskatningsgrundlaget for ejendomsavancen</w:t>
      </w:r>
      <w:r w:rsidRPr="00815B3E">
        <w:rPr>
          <w:rFonts w:eastAsia="Calibri" w:cs="Times New Roman"/>
          <w:bCs/>
          <w:color w:val="000000" w:themeColor="text1"/>
          <w:szCs w:val="24"/>
        </w:rPr>
        <w:t xml:space="preserve"> efter det foreslåede lagerprincip</w:t>
      </w:r>
      <w:r w:rsidR="0030496B" w:rsidRPr="00815B3E">
        <w:rPr>
          <w:rFonts w:eastAsia="Calibri" w:cs="Times New Roman"/>
          <w:bCs/>
          <w:color w:val="000000" w:themeColor="text1"/>
          <w:szCs w:val="24"/>
        </w:rPr>
        <w:t xml:space="preserve">. </w:t>
      </w:r>
      <w:r w:rsidR="0089721D">
        <w:rPr>
          <w:rFonts w:eastAsia="Calibri" w:cs="Times New Roman"/>
          <w:bCs/>
          <w:color w:val="000000" w:themeColor="text1"/>
          <w:szCs w:val="24"/>
        </w:rPr>
        <w:t>De foreslåede regler har til hensigt</w:t>
      </w:r>
      <w:r w:rsidR="0089721D" w:rsidRPr="00AA527C">
        <w:rPr>
          <w:rFonts w:eastAsia="Calibri" w:cs="Times New Roman"/>
          <w:bCs/>
          <w:color w:val="000000" w:themeColor="text1"/>
          <w:szCs w:val="24"/>
        </w:rPr>
        <w:t xml:space="preserve"> at undgå en situation, </w:t>
      </w:r>
      <w:r w:rsidR="0089721D">
        <w:rPr>
          <w:rFonts w:eastAsia="Calibri" w:cs="Times New Roman"/>
          <w:bCs/>
          <w:color w:val="000000" w:themeColor="text1"/>
          <w:szCs w:val="24"/>
        </w:rPr>
        <w:t>hvor</w:t>
      </w:r>
      <w:r w:rsidR="0089721D" w:rsidRPr="00AA527C">
        <w:rPr>
          <w:rFonts w:eastAsia="Calibri" w:cs="Times New Roman"/>
          <w:bCs/>
          <w:color w:val="000000" w:themeColor="text1"/>
          <w:szCs w:val="24"/>
        </w:rPr>
        <w:t xml:space="preserve"> </w:t>
      </w:r>
      <w:r w:rsidR="0030496B" w:rsidRPr="00815B3E">
        <w:rPr>
          <w:rFonts w:eastAsia="Calibri" w:cs="Times New Roman"/>
          <w:bCs/>
          <w:color w:val="000000" w:themeColor="text1"/>
          <w:szCs w:val="24"/>
        </w:rPr>
        <w:t xml:space="preserve">udgifter til forbedring ikke kan afskrives eller fratrækkes, men hvor værdiforøgelsen af forbedring beskattes som en </w:t>
      </w:r>
      <w:r w:rsidRPr="00815B3E">
        <w:rPr>
          <w:rFonts w:eastAsia="Calibri" w:cs="Times New Roman"/>
          <w:bCs/>
          <w:color w:val="000000" w:themeColor="text1"/>
          <w:szCs w:val="24"/>
        </w:rPr>
        <w:t xml:space="preserve">værdistigning på ejendommen </w:t>
      </w:r>
      <w:r w:rsidR="006016CA" w:rsidRPr="00815B3E">
        <w:rPr>
          <w:rFonts w:eastAsia="Calibri" w:cs="Times New Roman"/>
          <w:bCs/>
          <w:color w:val="000000" w:themeColor="text1"/>
          <w:szCs w:val="24"/>
        </w:rPr>
        <w:t>efter lagerprincippet</w:t>
      </w:r>
      <w:r w:rsidR="0030496B" w:rsidRPr="00815B3E">
        <w:rPr>
          <w:rFonts w:eastAsia="Calibri" w:cs="Times New Roman"/>
          <w:bCs/>
          <w:color w:val="000000" w:themeColor="text1"/>
          <w:szCs w:val="24"/>
        </w:rPr>
        <w:t xml:space="preserve">.  </w:t>
      </w:r>
    </w:p>
    <w:p w14:paraId="4B13D0B7" w14:textId="226FD7C0" w:rsidR="00260103" w:rsidRPr="00815B3E" w:rsidRDefault="00260103" w:rsidP="00673631">
      <w:pPr>
        <w:spacing w:after="240"/>
        <w:rPr>
          <w:rFonts w:eastAsia="Calibri" w:cs="Times New Roman"/>
          <w:bCs/>
          <w:color w:val="000000" w:themeColor="text1"/>
          <w:szCs w:val="24"/>
          <w:u w:val="single"/>
        </w:rPr>
      </w:pPr>
      <w:r w:rsidRPr="00815B3E">
        <w:rPr>
          <w:rFonts w:eastAsia="Calibri" w:cs="Times New Roman"/>
          <w:bCs/>
          <w:color w:val="000000" w:themeColor="text1"/>
          <w:szCs w:val="24"/>
          <w:u w:val="single"/>
        </w:rPr>
        <w:t>Til § 14 B</w:t>
      </w:r>
    </w:p>
    <w:p w14:paraId="147BAE3D" w14:textId="7133E43A" w:rsidR="005260D5" w:rsidRPr="00815B3E" w:rsidRDefault="00D43706" w:rsidP="00D43706">
      <w:pPr>
        <w:spacing w:after="240"/>
        <w:rPr>
          <w:rFonts w:eastAsia="Calibri" w:cs="Times New Roman"/>
          <w:bCs/>
          <w:color w:val="000000" w:themeColor="text1"/>
          <w:szCs w:val="24"/>
        </w:rPr>
      </w:pPr>
      <w:r w:rsidRPr="00815B3E">
        <w:rPr>
          <w:rFonts w:eastAsia="Calibri" w:cs="Times New Roman"/>
          <w:bCs/>
          <w:color w:val="000000" w:themeColor="text1"/>
          <w:szCs w:val="24"/>
        </w:rPr>
        <w:lastRenderedPageBreak/>
        <w:t xml:space="preserve">Det foreslås, at der indsættes </w:t>
      </w:r>
      <w:r w:rsidR="005260D5" w:rsidRPr="00815B3E">
        <w:rPr>
          <w:rFonts w:eastAsia="Calibri" w:cs="Times New Roman"/>
          <w:bCs/>
          <w:color w:val="000000" w:themeColor="text1"/>
          <w:szCs w:val="24"/>
        </w:rPr>
        <w:t xml:space="preserve">en bestemmelse i </w:t>
      </w:r>
      <w:r w:rsidR="00B0240E">
        <w:rPr>
          <w:rFonts w:eastAsia="Calibri" w:cs="Times New Roman"/>
          <w:bCs/>
          <w:color w:val="000000" w:themeColor="text1"/>
          <w:szCs w:val="24"/>
        </w:rPr>
        <w:t>ejendomsavancebeskatningslovens</w:t>
      </w:r>
      <w:r w:rsidRPr="00815B3E">
        <w:rPr>
          <w:rFonts w:eastAsia="Calibri" w:cs="Times New Roman"/>
          <w:bCs/>
          <w:color w:val="000000" w:themeColor="text1"/>
          <w:szCs w:val="24"/>
        </w:rPr>
        <w:t xml:space="preserve"> </w:t>
      </w:r>
      <w:r w:rsidRPr="00815B3E">
        <w:rPr>
          <w:rFonts w:eastAsia="Calibri" w:cs="Times New Roman"/>
          <w:bCs/>
          <w:i/>
          <w:iCs/>
          <w:color w:val="000000" w:themeColor="text1"/>
          <w:szCs w:val="24"/>
        </w:rPr>
        <w:t>§ 14 B</w:t>
      </w:r>
      <w:r w:rsidRPr="00815B3E">
        <w:rPr>
          <w:rFonts w:eastAsia="Calibri" w:cs="Times New Roman"/>
          <w:bCs/>
          <w:color w:val="000000" w:themeColor="text1"/>
          <w:szCs w:val="24"/>
        </w:rPr>
        <w:t>,</w:t>
      </w:r>
      <w:r w:rsidR="00EC1E34" w:rsidRPr="00EC1E34">
        <w:rPr>
          <w:rFonts w:eastAsia="Calibri" w:cs="Times New Roman"/>
          <w:bCs/>
          <w:i/>
          <w:iCs/>
          <w:color w:val="000000" w:themeColor="text1"/>
          <w:szCs w:val="24"/>
        </w:rPr>
        <w:t xml:space="preserve"> stk. 1,</w:t>
      </w:r>
      <w:r w:rsidRPr="00815B3E">
        <w:rPr>
          <w:rFonts w:eastAsia="Calibri" w:cs="Times New Roman"/>
          <w:bCs/>
          <w:color w:val="000000" w:themeColor="text1"/>
          <w:szCs w:val="24"/>
        </w:rPr>
        <w:t xml:space="preserve"> hvor det fastslås, hvornår overgangen </w:t>
      </w:r>
      <w:r w:rsidR="00D2213E" w:rsidRPr="00815B3E">
        <w:rPr>
          <w:rFonts w:eastAsia="Calibri" w:cs="Times New Roman"/>
          <w:bCs/>
          <w:color w:val="000000" w:themeColor="text1"/>
          <w:szCs w:val="24"/>
        </w:rPr>
        <w:t xml:space="preserve">fra realisationsbeskatning </w:t>
      </w:r>
      <w:r w:rsidRPr="00815B3E">
        <w:rPr>
          <w:rFonts w:eastAsia="Calibri" w:cs="Times New Roman"/>
          <w:bCs/>
          <w:color w:val="000000" w:themeColor="text1"/>
          <w:szCs w:val="24"/>
        </w:rPr>
        <w:t xml:space="preserve">til lagerbeskatning finder sted. </w:t>
      </w:r>
    </w:p>
    <w:p w14:paraId="3BBEE018" w14:textId="76C68C5B" w:rsidR="00D43706" w:rsidRPr="00815B3E" w:rsidRDefault="00D43706" w:rsidP="00D43706">
      <w:pPr>
        <w:spacing w:after="240"/>
        <w:rPr>
          <w:rFonts w:eastAsia="Calibri" w:cs="Times New Roman"/>
          <w:bCs/>
          <w:color w:val="000000" w:themeColor="text1"/>
          <w:szCs w:val="24"/>
        </w:rPr>
      </w:pPr>
      <w:r w:rsidRPr="00815B3E">
        <w:rPr>
          <w:rFonts w:eastAsia="Calibri" w:cs="Times New Roman"/>
          <w:bCs/>
          <w:color w:val="000000" w:themeColor="text1"/>
          <w:szCs w:val="24"/>
        </w:rPr>
        <w:t>Tidspunktet for overgang til lagerbeskatning har dels betydning for, på hvilket tidspunkt indgangsværdien efter den foreslåede § 14 C skal opgøres, og dels, hvilket indkomstår</w:t>
      </w:r>
      <w:r w:rsidR="00D2213E" w:rsidRPr="00815B3E">
        <w:rPr>
          <w:rFonts w:eastAsia="Calibri" w:cs="Times New Roman"/>
          <w:bCs/>
          <w:color w:val="000000" w:themeColor="text1"/>
          <w:szCs w:val="24"/>
        </w:rPr>
        <w:t xml:space="preserve"> den foreslåede</w:t>
      </w:r>
      <w:r w:rsidRPr="00815B3E">
        <w:rPr>
          <w:rFonts w:eastAsia="Calibri" w:cs="Times New Roman"/>
          <w:bCs/>
          <w:color w:val="000000" w:themeColor="text1"/>
          <w:szCs w:val="24"/>
        </w:rPr>
        <w:t xml:space="preserve"> lagerbeskatning af ejendom</w:t>
      </w:r>
      <w:r w:rsidR="00D2213E" w:rsidRPr="00815B3E">
        <w:rPr>
          <w:rFonts w:eastAsia="Calibri" w:cs="Times New Roman"/>
          <w:bCs/>
          <w:color w:val="000000" w:themeColor="text1"/>
          <w:szCs w:val="24"/>
        </w:rPr>
        <w:t>men</w:t>
      </w:r>
      <w:r w:rsidRPr="00815B3E">
        <w:rPr>
          <w:rFonts w:eastAsia="Calibri" w:cs="Times New Roman"/>
          <w:bCs/>
          <w:color w:val="000000" w:themeColor="text1"/>
          <w:szCs w:val="24"/>
        </w:rPr>
        <w:t xml:space="preserve"> skal gælde fra. </w:t>
      </w:r>
    </w:p>
    <w:p w14:paraId="24A7D748" w14:textId="65222BA9" w:rsidR="00D43706" w:rsidRPr="00815B3E" w:rsidRDefault="00D43706" w:rsidP="00D43706">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Det foreslås i </w:t>
      </w:r>
      <w:r w:rsidR="009C3102" w:rsidRPr="00815B3E">
        <w:rPr>
          <w:rFonts w:eastAsia="Calibri" w:cs="Times New Roman"/>
          <w:bCs/>
          <w:color w:val="000000" w:themeColor="text1"/>
          <w:szCs w:val="24"/>
        </w:rPr>
        <w:t>ejendomsavancebeskatningsloven</w:t>
      </w:r>
      <w:r w:rsidR="00D2213E" w:rsidRPr="00815B3E">
        <w:rPr>
          <w:rFonts w:eastAsia="Calibri" w:cs="Times New Roman"/>
          <w:bCs/>
          <w:color w:val="000000" w:themeColor="text1"/>
          <w:szCs w:val="24"/>
        </w:rPr>
        <w:t xml:space="preserve"> </w:t>
      </w:r>
      <w:r w:rsidRPr="00815B3E">
        <w:rPr>
          <w:rFonts w:eastAsia="Calibri" w:cs="Times New Roman"/>
          <w:bCs/>
          <w:color w:val="000000" w:themeColor="text1"/>
          <w:szCs w:val="24"/>
        </w:rPr>
        <w:t xml:space="preserve">§ </w:t>
      </w:r>
      <w:r w:rsidRPr="00EC1E34">
        <w:rPr>
          <w:rFonts w:eastAsia="Calibri" w:cs="Times New Roman"/>
          <w:bCs/>
          <w:color w:val="000000" w:themeColor="text1"/>
          <w:szCs w:val="24"/>
        </w:rPr>
        <w:t>14 B, stk. 1,</w:t>
      </w:r>
      <w:r w:rsidRPr="00815B3E">
        <w:rPr>
          <w:rFonts w:eastAsia="Calibri" w:cs="Times New Roman"/>
          <w:bCs/>
          <w:color w:val="000000" w:themeColor="text1"/>
          <w:szCs w:val="24"/>
        </w:rPr>
        <w:t xml:space="preserve"> at overgang fra realisationsbeskatning til lagerbeskatning som hovedregel </w:t>
      </w:r>
      <w:r w:rsidR="00707FB5" w:rsidRPr="00815B3E">
        <w:rPr>
          <w:rFonts w:eastAsia="Calibri" w:cs="Times New Roman"/>
          <w:bCs/>
          <w:color w:val="000000" w:themeColor="text1"/>
          <w:szCs w:val="24"/>
        </w:rPr>
        <w:t xml:space="preserve">skal </w:t>
      </w:r>
      <w:r w:rsidRPr="00815B3E">
        <w:rPr>
          <w:rFonts w:eastAsia="Calibri" w:cs="Times New Roman"/>
          <w:bCs/>
          <w:color w:val="000000" w:themeColor="text1"/>
          <w:szCs w:val="24"/>
        </w:rPr>
        <w:t>finde sted med virkning fra begyndelsen af det indkomstår, hvor betingelserne i § 14 er opfyldt.</w:t>
      </w:r>
    </w:p>
    <w:p w14:paraId="32B690AB" w14:textId="5B5A09C5" w:rsidR="00707FB5" w:rsidRPr="00815B3E" w:rsidRDefault="0058212B" w:rsidP="00D43706">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Overgang til lagerbeskatning med virkning fra begyndelsen af indkomståret vil efter forslaget </w:t>
      </w:r>
      <w:r w:rsidR="00BC06F1" w:rsidRPr="00815B3E">
        <w:rPr>
          <w:rFonts w:eastAsia="Calibri" w:cs="Times New Roman"/>
          <w:bCs/>
          <w:color w:val="000000" w:themeColor="text1"/>
          <w:szCs w:val="24"/>
        </w:rPr>
        <w:t xml:space="preserve">f.eks. </w:t>
      </w:r>
      <w:r w:rsidRPr="00815B3E">
        <w:rPr>
          <w:rFonts w:eastAsia="Calibri" w:cs="Times New Roman"/>
          <w:bCs/>
          <w:color w:val="000000" w:themeColor="text1"/>
          <w:szCs w:val="24"/>
        </w:rPr>
        <w:t xml:space="preserve">omfatte ejendomme, der allerede ved indkomstårets begyndelse </w:t>
      </w:r>
      <w:r w:rsidR="00EE42EA" w:rsidRPr="00815B3E">
        <w:rPr>
          <w:rFonts w:eastAsia="Calibri" w:cs="Times New Roman"/>
          <w:bCs/>
          <w:color w:val="000000" w:themeColor="text1"/>
          <w:szCs w:val="24"/>
        </w:rPr>
        <w:t>er</w:t>
      </w:r>
      <w:r w:rsidRPr="00815B3E">
        <w:rPr>
          <w:rFonts w:eastAsia="Calibri" w:cs="Times New Roman"/>
          <w:bCs/>
          <w:color w:val="000000" w:themeColor="text1"/>
          <w:szCs w:val="24"/>
        </w:rPr>
        <w:t xml:space="preserve"> udlejet i overvejende omfang, men som ikke tidligere har været omfattet af lagerbeskatningen. </w:t>
      </w:r>
    </w:p>
    <w:p w14:paraId="383BAEDE" w14:textId="2AF9ABBE" w:rsidR="00707FB5" w:rsidRPr="00815B3E" w:rsidRDefault="0058212B" w:rsidP="00D43706">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At ejendommene ikke tidligere har været omfattet af den foreslåede </w:t>
      </w:r>
      <w:proofErr w:type="gramStart"/>
      <w:r w:rsidRPr="00815B3E">
        <w:rPr>
          <w:rFonts w:eastAsia="Calibri" w:cs="Times New Roman"/>
          <w:bCs/>
          <w:color w:val="000000" w:themeColor="text1"/>
          <w:szCs w:val="24"/>
        </w:rPr>
        <w:t>lagerbeskatning</w:t>
      </w:r>
      <w:proofErr w:type="gramEnd"/>
      <w:r w:rsidRPr="00815B3E">
        <w:rPr>
          <w:rFonts w:eastAsia="Calibri" w:cs="Times New Roman"/>
          <w:bCs/>
          <w:color w:val="000000" w:themeColor="text1"/>
          <w:szCs w:val="24"/>
        </w:rPr>
        <w:t xml:space="preserve"> kan skyldes, at der er tale om det første indkomstår efter </w:t>
      </w:r>
      <w:r w:rsidR="00A474CC" w:rsidRPr="00815B3E">
        <w:rPr>
          <w:rFonts w:eastAsia="Calibri" w:cs="Times New Roman"/>
          <w:bCs/>
          <w:color w:val="000000" w:themeColor="text1"/>
          <w:szCs w:val="24"/>
        </w:rPr>
        <w:t>lov</w:t>
      </w:r>
      <w:r w:rsidR="00A474CC">
        <w:rPr>
          <w:rFonts w:eastAsia="Calibri" w:cs="Times New Roman"/>
          <w:bCs/>
          <w:color w:val="000000" w:themeColor="text1"/>
          <w:szCs w:val="24"/>
        </w:rPr>
        <w:t>ens</w:t>
      </w:r>
      <w:r w:rsidR="00A474CC" w:rsidRPr="00815B3E">
        <w:rPr>
          <w:rFonts w:eastAsia="Calibri" w:cs="Times New Roman"/>
          <w:bCs/>
          <w:color w:val="000000" w:themeColor="text1"/>
          <w:szCs w:val="24"/>
        </w:rPr>
        <w:t xml:space="preserve"> </w:t>
      </w:r>
      <w:r w:rsidRPr="00815B3E">
        <w:rPr>
          <w:rFonts w:eastAsia="Calibri" w:cs="Times New Roman"/>
          <w:bCs/>
          <w:color w:val="000000" w:themeColor="text1"/>
          <w:szCs w:val="24"/>
        </w:rPr>
        <w:t>ikrafttræden</w:t>
      </w:r>
      <w:r w:rsidR="00707FB5" w:rsidRPr="00815B3E">
        <w:rPr>
          <w:rFonts w:eastAsia="Calibri" w:cs="Times New Roman"/>
          <w:bCs/>
          <w:color w:val="000000" w:themeColor="text1"/>
          <w:szCs w:val="24"/>
        </w:rPr>
        <w:t xml:space="preserve">. Bestemmelsen vil således føre til, at der for selskaber, der allerede ved </w:t>
      </w:r>
      <w:r w:rsidR="00A474CC" w:rsidRPr="00815B3E">
        <w:rPr>
          <w:rFonts w:eastAsia="Calibri" w:cs="Times New Roman"/>
          <w:bCs/>
          <w:color w:val="000000" w:themeColor="text1"/>
          <w:szCs w:val="24"/>
        </w:rPr>
        <w:t>lov</w:t>
      </w:r>
      <w:r w:rsidR="00A474CC">
        <w:rPr>
          <w:rFonts w:eastAsia="Calibri" w:cs="Times New Roman"/>
          <w:bCs/>
          <w:color w:val="000000" w:themeColor="text1"/>
          <w:szCs w:val="24"/>
        </w:rPr>
        <w:t>ens</w:t>
      </w:r>
      <w:r w:rsidR="00A474CC" w:rsidRPr="00815B3E">
        <w:rPr>
          <w:rFonts w:eastAsia="Calibri" w:cs="Times New Roman"/>
          <w:bCs/>
          <w:color w:val="000000" w:themeColor="text1"/>
          <w:szCs w:val="24"/>
        </w:rPr>
        <w:t xml:space="preserve"> </w:t>
      </w:r>
      <w:r w:rsidR="00707FB5" w:rsidRPr="00815B3E">
        <w:rPr>
          <w:rFonts w:eastAsia="Calibri" w:cs="Times New Roman"/>
          <w:bCs/>
          <w:color w:val="000000" w:themeColor="text1"/>
          <w:szCs w:val="24"/>
        </w:rPr>
        <w:t>ikrafttræden ejer ejendomme for over 100 mio. kr., der udlejes i overvejende omfang, vil indtræde lagerbeskatning med virkning fra og med det indkomstår, der påbegyndes den 1. januar 2023 eller senere, forudsat at beløbsgrænsen også er overskredet ved udløbet af indkomståret.</w:t>
      </w:r>
    </w:p>
    <w:p w14:paraId="213BAE6C" w14:textId="473E5D7B" w:rsidR="0058212B" w:rsidRPr="00815B3E" w:rsidRDefault="00707FB5" w:rsidP="00D43706">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At ejendommene ikke tidligere har været omfattet af den foreslåede </w:t>
      </w:r>
      <w:proofErr w:type="gramStart"/>
      <w:r w:rsidRPr="00815B3E">
        <w:rPr>
          <w:rFonts w:eastAsia="Calibri" w:cs="Times New Roman"/>
          <w:bCs/>
          <w:color w:val="000000" w:themeColor="text1"/>
          <w:szCs w:val="24"/>
        </w:rPr>
        <w:t>lagerbeskatning</w:t>
      </w:r>
      <w:proofErr w:type="gramEnd"/>
      <w:r w:rsidRPr="00815B3E">
        <w:rPr>
          <w:rFonts w:eastAsia="Calibri" w:cs="Times New Roman"/>
          <w:bCs/>
          <w:color w:val="000000" w:themeColor="text1"/>
          <w:szCs w:val="24"/>
        </w:rPr>
        <w:t xml:space="preserve"> kan også skyldes</w:t>
      </w:r>
      <w:r w:rsidR="00FB7CDE" w:rsidRPr="00815B3E">
        <w:rPr>
          <w:rFonts w:eastAsia="Calibri" w:cs="Times New Roman"/>
          <w:bCs/>
          <w:color w:val="000000" w:themeColor="text1"/>
          <w:szCs w:val="24"/>
        </w:rPr>
        <w:t xml:space="preserve">, at værdien af porteføljen af udlejningsejendomme ikke tidligere har oversteget 100 mio. kr. I det </w:t>
      </w:r>
      <w:r w:rsidR="00B02FCA" w:rsidRPr="00815B3E">
        <w:rPr>
          <w:rFonts w:eastAsia="Calibri" w:cs="Times New Roman"/>
          <w:bCs/>
          <w:color w:val="000000" w:themeColor="text1"/>
          <w:szCs w:val="24"/>
        </w:rPr>
        <w:t>indkomst</w:t>
      </w:r>
      <w:r w:rsidR="00FB7CDE" w:rsidRPr="00815B3E">
        <w:rPr>
          <w:rFonts w:eastAsia="Calibri" w:cs="Times New Roman"/>
          <w:bCs/>
          <w:color w:val="000000" w:themeColor="text1"/>
          <w:szCs w:val="24"/>
        </w:rPr>
        <w:t>år, hvor porteføljen af udlejningsejendomme første gang overstiger 100 mio. kr.</w:t>
      </w:r>
      <w:r w:rsidR="00B02FCA" w:rsidRPr="00815B3E">
        <w:rPr>
          <w:rFonts w:eastAsia="Calibri" w:cs="Times New Roman"/>
          <w:bCs/>
          <w:color w:val="000000" w:themeColor="text1"/>
          <w:szCs w:val="24"/>
        </w:rPr>
        <w:t xml:space="preserve"> ved udgangen af indkomståret</w:t>
      </w:r>
      <w:r w:rsidR="00FB7CDE" w:rsidRPr="00815B3E">
        <w:rPr>
          <w:rFonts w:eastAsia="Calibri" w:cs="Times New Roman"/>
          <w:bCs/>
          <w:color w:val="000000" w:themeColor="text1"/>
          <w:szCs w:val="24"/>
        </w:rPr>
        <w:t xml:space="preserve">, </w:t>
      </w:r>
      <w:r w:rsidR="00A474CC">
        <w:rPr>
          <w:rFonts w:eastAsia="Calibri" w:cs="Times New Roman"/>
          <w:bCs/>
          <w:color w:val="000000" w:themeColor="text1"/>
          <w:szCs w:val="24"/>
        </w:rPr>
        <w:t xml:space="preserve">skal </w:t>
      </w:r>
      <w:r w:rsidR="00FB7CDE" w:rsidRPr="00815B3E">
        <w:rPr>
          <w:rFonts w:eastAsia="Calibri" w:cs="Times New Roman"/>
          <w:bCs/>
          <w:color w:val="000000" w:themeColor="text1"/>
          <w:szCs w:val="24"/>
        </w:rPr>
        <w:t>der så</w:t>
      </w:r>
      <w:r w:rsidR="00B02FCA" w:rsidRPr="00815B3E">
        <w:rPr>
          <w:rFonts w:eastAsia="Calibri" w:cs="Times New Roman"/>
          <w:bCs/>
          <w:color w:val="000000" w:themeColor="text1"/>
          <w:szCs w:val="24"/>
        </w:rPr>
        <w:t>ledes efter forslaget</w:t>
      </w:r>
      <w:r w:rsidR="00A474CC">
        <w:rPr>
          <w:rFonts w:eastAsia="Calibri" w:cs="Times New Roman"/>
          <w:bCs/>
          <w:color w:val="000000" w:themeColor="text1"/>
          <w:szCs w:val="24"/>
        </w:rPr>
        <w:t xml:space="preserve"> indtræde</w:t>
      </w:r>
      <w:r w:rsidR="00B02FCA" w:rsidRPr="00815B3E">
        <w:rPr>
          <w:rFonts w:eastAsia="Calibri" w:cs="Times New Roman"/>
          <w:bCs/>
          <w:color w:val="000000" w:themeColor="text1"/>
          <w:szCs w:val="24"/>
        </w:rPr>
        <w:t xml:space="preserve"> lagerbeskatning med virkning fra indkomstårets begyndelse.</w:t>
      </w:r>
      <w:r w:rsidR="00C0632F">
        <w:rPr>
          <w:rFonts w:eastAsia="Calibri" w:cs="Times New Roman"/>
          <w:bCs/>
          <w:color w:val="000000" w:themeColor="text1"/>
          <w:szCs w:val="24"/>
        </w:rPr>
        <w:t xml:space="preserve"> Det vil i denne forbindelse være nødvendigt for selskabet også at opgøre handelsværdien af de pågældende udlejningsejendomme ved begyndelsen af det pågældende indkomstår. </w:t>
      </w:r>
      <w:r w:rsidR="00B02FCA" w:rsidRPr="00815B3E">
        <w:rPr>
          <w:rFonts w:eastAsia="Calibri" w:cs="Times New Roman"/>
          <w:bCs/>
          <w:color w:val="000000" w:themeColor="text1"/>
          <w:szCs w:val="24"/>
        </w:rPr>
        <w:t xml:space="preserve"> </w:t>
      </w:r>
      <w:r w:rsidR="00FB7CDE" w:rsidRPr="00815B3E">
        <w:rPr>
          <w:rFonts w:eastAsia="Calibri" w:cs="Times New Roman"/>
          <w:bCs/>
          <w:color w:val="000000" w:themeColor="text1"/>
          <w:szCs w:val="24"/>
        </w:rPr>
        <w:t xml:space="preserve"> </w:t>
      </w:r>
    </w:p>
    <w:p w14:paraId="4338FE20" w14:textId="49AE1B4F" w:rsidR="008B5C8F" w:rsidRPr="00815B3E" w:rsidRDefault="00EE42EA" w:rsidP="00D43706">
      <w:pPr>
        <w:spacing w:after="240"/>
        <w:rPr>
          <w:rFonts w:eastAsia="Calibri" w:cs="Times New Roman"/>
          <w:bCs/>
          <w:color w:val="000000" w:themeColor="text1"/>
          <w:szCs w:val="24"/>
        </w:rPr>
      </w:pPr>
      <w:r w:rsidRPr="00815B3E">
        <w:rPr>
          <w:rFonts w:eastAsia="Calibri" w:cs="Times New Roman"/>
          <w:bCs/>
          <w:color w:val="000000" w:themeColor="text1"/>
          <w:szCs w:val="24"/>
        </w:rPr>
        <w:t>Den foreslåede o</w:t>
      </w:r>
      <w:r w:rsidR="0058212B" w:rsidRPr="00815B3E">
        <w:rPr>
          <w:rFonts w:eastAsia="Calibri" w:cs="Times New Roman"/>
          <w:bCs/>
          <w:color w:val="000000" w:themeColor="text1"/>
          <w:szCs w:val="24"/>
        </w:rPr>
        <w:t xml:space="preserve">vergang til lagerbeskatning med virkning fra begyndelsen af indkomståret </w:t>
      </w:r>
      <w:r w:rsidRPr="00815B3E">
        <w:rPr>
          <w:rFonts w:eastAsia="Calibri" w:cs="Times New Roman"/>
          <w:bCs/>
          <w:color w:val="000000" w:themeColor="text1"/>
          <w:szCs w:val="24"/>
        </w:rPr>
        <w:t xml:space="preserve">vil </w:t>
      </w:r>
      <w:r w:rsidR="0058212B" w:rsidRPr="00815B3E">
        <w:rPr>
          <w:rFonts w:eastAsia="Calibri" w:cs="Times New Roman"/>
          <w:bCs/>
          <w:color w:val="000000" w:themeColor="text1"/>
          <w:szCs w:val="24"/>
        </w:rPr>
        <w:t>efter forslaget</w:t>
      </w:r>
      <w:r w:rsidR="008B5C8F" w:rsidRPr="00815B3E">
        <w:rPr>
          <w:rFonts w:eastAsia="Calibri" w:cs="Times New Roman"/>
          <w:bCs/>
          <w:color w:val="000000" w:themeColor="text1"/>
          <w:szCs w:val="24"/>
        </w:rPr>
        <w:t xml:space="preserve"> </w:t>
      </w:r>
      <w:r w:rsidR="00BC06F1" w:rsidRPr="00815B3E">
        <w:rPr>
          <w:rFonts w:eastAsia="Calibri" w:cs="Times New Roman"/>
          <w:bCs/>
          <w:color w:val="000000" w:themeColor="text1"/>
          <w:szCs w:val="24"/>
        </w:rPr>
        <w:t xml:space="preserve">også </w:t>
      </w:r>
      <w:r w:rsidR="0058212B" w:rsidRPr="00815B3E">
        <w:rPr>
          <w:rFonts w:eastAsia="Calibri" w:cs="Times New Roman"/>
          <w:bCs/>
          <w:color w:val="000000" w:themeColor="text1"/>
          <w:szCs w:val="24"/>
        </w:rPr>
        <w:t>omfatte ejendomme, der</w:t>
      </w:r>
      <w:r w:rsidR="00C716AF" w:rsidRPr="00815B3E">
        <w:rPr>
          <w:rFonts w:eastAsia="Calibri" w:cs="Times New Roman"/>
          <w:bCs/>
          <w:color w:val="000000" w:themeColor="text1"/>
          <w:szCs w:val="24"/>
        </w:rPr>
        <w:t xml:space="preserve"> ved begyndelsen af indkomståret</w:t>
      </w:r>
      <w:r w:rsidR="00707FB5" w:rsidRPr="00815B3E">
        <w:rPr>
          <w:rFonts w:eastAsia="Calibri" w:cs="Times New Roman"/>
          <w:bCs/>
          <w:color w:val="000000" w:themeColor="text1"/>
          <w:szCs w:val="24"/>
        </w:rPr>
        <w:t xml:space="preserve"> var anvendt i selskabets egen drift</w:t>
      </w:r>
      <w:r w:rsidR="00C716AF" w:rsidRPr="00815B3E">
        <w:rPr>
          <w:rFonts w:eastAsia="Calibri" w:cs="Times New Roman"/>
          <w:bCs/>
          <w:color w:val="000000" w:themeColor="text1"/>
          <w:szCs w:val="24"/>
        </w:rPr>
        <w:t>, men</w:t>
      </w:r>
      <w:r w:rsidR="0058212B" w:rsidRPr="00815B3E">
        <w:rPr>
          <w:rFonts w:eastAsia="Calibri" w:cs="Times New Roman"/>
          <w:bCs/>
          <w:color w:val="000000" w:themeColor="text1"/>
          <w:szCs w:val="24"/>
        </w:rPr>
        <w:t xml:space="preserve"> i løbet af indkomståret har skiftet status til at være udlejet i væsentligt omfang. Værdien af disse ejendomme, der har ændret status i løbet af indkomståret, vil således også skulle medregnes til </w:t>
      </w:r>
      <w:proofErr w:type="spellStart"/>
      <w:r w:rsidR="0058212B" w:rsidRPr="00815B3E">
        <w:rPr>
          <w:rFonts w:eastAsia="Calibri" w:cs="Times New Roman"/>
          <w:bCs/>
          <w:color w:val="000000" w:themeColor="text1"/>
          <w:szCs w:val="24"/>
        </w:rPr>
        <w:t>primoværdien</w:t>
      </w:r>
      <w:proofErr w:type="spellEnd"/>
      <w:r w:rsidR="0058212B" w:rsidRPr="00815B3E">
        <w:rPr>
          <w:rFonts w:eastAsia="Calibri" w:cs="Times New Roman"/>
          <w:bCs/>
          <w:color w:val="000000" w:themeColor="text1"/>
          <w:szCs w:val="24"/>
        </w:rPr>
        <w:t xml:space="preserve"> af ejendomme, der udlejes </w:t>
      </w:r>
      <w:r w:rsidR="0058212B" w:rsidRPr="00815B3E">
        <w:rPr>
          <w:rFonts w:eastAsia="Calibri" w:cs="Times New Roman"/>
          <w:bCs/>
          <w:color w:val="000000" w:themeColor="text1"/>
          <w:szCs w:val="24"/>
        </w:rPr>
        <w:lastRenderedPageBreak/>
        <w:t xml:space="preserve">i overvejende omfang efter den foreslåede § 14, stk. 1, i </w:t>
      </w:r>
      <w:r w:rsidR="009C3102" w:rsidRPr="00815B3E">
        <w:rPr>
          <w:rFonts w:eastAsia="Calibri" w:cs="Times New Roman"/>
          <w:bCs/>
          <w:color w:val="000000" w:themeColor="text1"/>
          <w:szCs w:val="24"/>
        </w:rPr>
        <w:t>ejendomsavancebeskatningsloven</w:t>
      </w:r>
      <w:r w:rsidR="0058212B" w:rsidRPr="00815B3E">
        <w:rPr>
          <w:rFonts w:eastAsia="Calibri" w:cs="Times New Roman"/>
          <w:bCs/>
          <w:color w:val="000000" w:themeColor="text1"/>
          <w:szCs w:val="24"/>
        </w:rPr>
        <w:t>.</w:t>
      </w:r>
    </w:p>
    <w:p w14:paraId="55FAA179" w14:textId="3114FF98" w:rsidR="00D43706" w:rsidRPr="00815B3E" w:rsidRDefault="00BC06F1" w:rsidP="00D43706">
      <w:pPr>
        <w:spacing w:after="240"/>
        <w:rPr>
          <w:rFonts w:eastAsia="Calibri" w:cs="Times New Roman"/>
          <w:bCs/>
          <w:color w:val="000000" w:themeColor="text1"/>
          <w:szCs w:val="24"/>
        </w:rPr>
      </w:pPr>
      <w:r w:rsidRPr="00815B3E">
        <w:rPr>
          <w:rFonts w:eastAsia="Calibri" w:cs="Times New Roman"/>
          <w:bCs/>
          <w:color w:val="000000" w:themeColor="text1"/>
          <w:szCs w:val="24"/>
        </w:rPr>
        <w:t>I</w:t>
      </w:r>
      <w:r w:rsidR="00D43706" w:rsidRPr="00815B3E">
        <w:rPr>
          <w:rFonts w:eastAsia="Calibri" w:cs="Times New Roman"/>
          <w:bCs/>
          <w:color w:val="000000" w:themeColor="text1"/>
          <w:szCs w:val="24"/>
        </w:rPr>
        <w:t xml:space="preserve"> det indkomstår, hvor selskabet ved udløbet af indkomståret ejer ejendomme</w:t>
      </w:r>
      <w:r w:rsidR="00707FB5" w:rsidRPr="00815B3E">
        <w:rPr>
          <w:rFonts w:eastAsia="Calibri" w:cs="Times New Roman"/>
          <w:bCs/>
          <w:color w:val="000000" w:themeColor="text1"/>
          <w:szCs w:val="24"/>
        </w:rPr>
        <w:t xml:space="preserve"> for mere end 100 mio. kr.</w:t>
      </w:r>
      <w:r w:rsidR="00D43706" w:rsidRPr="00815B3E">
        <w:rPr>
          <w:rFonts w:eastAsia="Calibri" w:cs="Times New Roman"/>
          <w:bCs/>
          <w:color w:val="000000" w:themeColor="text1"/>
          <w:szCs w:val="24"/>
        </w:rPr>
        <w:t xml:space="preserve">, der </w:t>
      </w:r>
      <w:r w:rsidR="00C716AF" w:rsidRPr="00815B3E">
        <w:rPr>
          <w:rFonts w:eastAsia="Calibri" w:cs="Times New Roman"/>
          <w:bCs/>
          <w:color w:val="000000" w:themeColor="text1"/>
          <w:szCs w:val="24"/>
        </w:rPr>
        <w:t xml:space="preserve">på noget tidspunkt i indkomståret </w:t>
      </w:r>
      <w:r w:rsidR="00D43706" w:rsidRPr="00815B3E">
        <w:rPr>
          <w:rFonts w:eastAsia="Calibri" w:cs="Times New Roman"/>
          <w:bCs/>
          <w:color w:val="000000" w:themeColor="text1"/>
          <w:szCs w:val="24"/>
        </w:rPr>
        <w:t xml:space="preserve">udlejes i overvejende omfang, vil </w:t>
      </w:r>
      <w:r w:rsidR="00D2213E" w:rsidRPr="00815B3E">
        <w:rPr>
          <w:rFonts w:eastAsia="Calibri" w:cs="Times New Roman"/>
          <w:bCs/>
          <w:color w:val="000000" w:themeColor="text1"/>
          <w:szCs w:val="24"/>
        </w:rPr>
        <w:t xml:space="preserve">de </w:t>
      </w:r>
      <w:r w:rsidR="00D43706" w:rsidRPr="00815B3E">
        <w:rPr>
          <w:rFonts w:eastAsia="Calibri" w:cs="Times New Roman"/>
          <w:bCs/>
          <w:color w:val="000000" w:themeColor="text1"/>
          <w:szCs w:val="24"/>
        </w:rPr>
        <w:t>ejendomme, der</w:t>
      </w:r>
      <w:r w:rsidR="00D2213E" w:rsidRPr="00815B3E">
        <w:rPr>
          <w:rFonts w:eastAsia="Calibri" w:cs="Times New Roman"/>
          <w:bCs/>
          <w:color w:val="000000" w:themeColor="text1"/>
          <w:szCs w:val="24"/>
        </w:rPr>
        <w:t xml:space="preserve"> </w:t>
      </w:r>
      <w:r w:rsidR="00C716AF" w:rsidRPr="00815B3E">
        <w:rPr>
          <w:rFonts w:eastAsia="Calibri" w:cs="Times New Roman"/>
          <w:bCs/>
          <w:color w:val="000000" w:themeColor="text1"/>
          <w:szCs w:val="24"/>
        </w:rPr>
        <w:t xml:space="preserve">ikke i forvejen måtte være omfattet af den foreslåede lagerbeskatning, og som var ejet ved indkomstårets begyndelse, </w:t>
      </w:r>
      <w:r w:rsidR="00D43706" w:rsidRPr="00815B3E">
        <w:rPr>
          <w:rFonts w:eastAsia="Calibri" w:cs="Times New Roman"/>
          <w:bCs/>
          <w:color w:val="000000" w:themeColor="text1"/>
          <w:szCs w:val="24"/>
        </w:rPr>
        <w:t>overgå til lagerbeskatning med virkning fra begyndelsen af indkomståret</w:t>
      </w:r>
      <w:r w:rsidR="00707FB5" w:rsidRPr="00815B3E">
        <w:rPr>
          <w:rFonts w:eastAsia="Calibri" w:cs="Times New Roman"/>
          <w:bCs/>
          <w:color w:val="000000" w:themeColor="text1"/>
          <w:szCs w:val="24"/>
        </w:rPr>
        <w:t>.</w:t>
      </w:r>
    </w:p>
    <w:p w14:paraId="0B118144" w14:textId="05E33878" w:rsidR="00D43706" w:rsidRPr="00815B3E" w:rsidRDefault="00D43706" w:rsidP="00D43706">
      <w:pPr>
        <w:spacing w:after="240"/>
        <w:rPr>
          <w:rFonts w:eastAsia="Calibri" w:cs="Times New Roman"/>
          <w:bCs/>
          <w:color w:val="000000" w:themeColor="text1"/>
          <w:szCs w:val="24"/>
        </w:rPr>
      </w:pPr>
      <w:r w:rsidRPr="00815B3E">
        <w:rPr>
          <w:rFonts w:eastAsia="Calibri" w:cs="Times New Roman"/>
          <w:bCs/>
          <w:color w:val="000000" w:themeColor="text1"/>
          <w:szCs w:val="24"/>
        </w:rPr>
        <w:t>Den indgangsværdi, der skal anvendes</w:t>
      </w:r>
      <w:r w:rsidR="00C716AF" w:rsidRPr="00815B3E">
        <w:rPr>
          <w:rFonts w:eastAsia="Calibri" w:cs="Times New Roman"/>
          <w:bCs/>
          <w:color w:val="000000" w:themeColor="text1"/>
          <w:szCs w:val="24"/>
        </w:rPr>
        <w:t xml:space="preserve"> ved overgangen til den foreslåede lagerbeskatning</w:t>
      </w:r>
      <w:r w:rsidRPr="00815B3E">
        <w:rPr>
          <w:rFonts w:eastAsia="Calibri" w:cs="Times New Roman"/>
          <w:bCs/>
          <w:color w:val="000000" w:themeColor="text1"/>
          <w:szCs w:val="24"/>
        </w:rPr>
        <w:t xml:space="preserve">, er således ejendommens værdi ved begyndelsen af det pågældende indkomstår. Idet der </w:t>
      </w:r>
      <w:r w:rsidR="00BC06F1" w:rsidRPr="00815B3E">
        <w:rPr>
          <w:rFonts w:eastAsia="Calibri" w:cs="Times New Roman"/>
          <w:bCs/>
          <w:color w:val="000000" w:themeColor="text1"/>
          <w:szCs w:val="24"/>
        </w:rPr>
        <w:t xml:space="preserve">normalt </w:t>
      </w:r>
      <w:r w:rsidRPr="00815B3E">
        <w:rPr>
          <w:rFonts w:eastAsia="Calibri" w:cs="Times New Roman"/>
          <w:bCs/>
          <w:color w:val="000000" w:themeColor="text1"/>
          <w:szCs w:val="24"/>
        </w:rPr>
        <w:t xml:space="preserve">ikke </w:t>
      </w:r>
      <w:r w:rsidR="00D2213E" w:rsidRPr="00815B3E">
        <w:rPr>
          <w:rFonts w:eastAsia="Calibri" w:cs="Times New Roman"/>
          <w:bCs/>
          <w:color w:val="000000" w:themeColor="text1"/>
          <w:szCs w:val="24"/>
        </w:rPr>
        <w:t xml:space="preserve">vil blive </w:t>
      </w:r>
      <w:r w:rsidRPr="00815B3E">
        <w:rPr>
          <w:rFonts w:eastAsia="Calibri" w:cs="Times New Roman"/>
          <w:bCs/>
          <w:color w:val="000000" w:themeColor="text1"/>
          <w:szCs w:val="24"/>
        </w:rPr>
        <w:t>foretage</w:t>
      </w:r>
      <w:r w:rsidR="00D2213E" w:rsidRPr="00815B3E">
        <w:rPr>
          <w:rFonts w:eastAsia="Calibri" w:cs="Times New Roman"/>
          <w:bCs/>
          <w:color w:val="000000" w:themeColor="text1"/>
          <w:szCs w:val="24"/>
        </w:rPr>
        <w:t>t en</w:t>
      </w:r>
      <w:r w:rsidRPr="00815B3E">
        <w:rPr>
          <w:rFonts w:eastAsia="Calibri" w:cs="Times New Roman"/>
          <w:bCs/>
          <w:color w:val="000000" w:themeColor="text1"/>
          <w:szCs w:val="24"/>
        </w:rPr>
        <w:t xml:space="preserve"> særskilt værdiansættelse af ejendomme ved begyndelsen af et indkomstår (f.eks. den 1. januar</w:t>
      </w:r>
      <w:r w:rsidR="001B6804">
        <w:rPr>
          <w:rFonts w:eastAsia="Calibri" w:cs="Times New Roman"/>
          <w:bCs/>
          <w:color w:val="000000" w:themeColor="text1"/>
          <w:szCs w:val="24"/>
        </w:rPr>
        <w:t xml:space="preserve"> 2023</w:t>
      </w:r>
      <w:r w:rsidRPr="00815B3E">
        <w:rPr>
          <w:rFonts w:eastAsia="Calibri" w:cs="Times New Roman"/>
          <w:bCs/>
          <w:color w:val="000000" w:themeColor="text1"/>
          <w:szCs w:val="24"/>
        </w:rPr>
        <w:t xml:space="preserve">), anvendes værdien ved udgangen af det senest forudgående indkomstår (f.eks. den 31. december </w:t>
      </w:r>
      <w:r w:rsidR="001B6804">
        <w:rPr>
          <w:rFonts w:eastAsia="Calibri" w:cs="Times New Roman"/>
          <w:bCs/>
          <w:color w:val="000000" w:themeColor="text1"/>
          <w:szCs w:val="24"/>
        </w:rPr>
        <w:t>2022</w:t>
      </w:r>
      <w:r w:rsidRPr="00815B3E">
        <w:rPr>
          <w:rFonts w:eastAsia="Calibri" w:cs="Times New Roman"/>
          <w:bCs/>
          <w:color w:val="000000" w:themeColor="text1"/>
          <w:szCs w:val="24"/>
        </w:rPr>
        <w:t xml:space="preserve">). </w:t>
      </w:r>
    </w:p>
    <w:p w14:paraId="59E474FE" w14:textId="3E952022" w:rsidR="00B02FCA" w:rsidRPr="00815B3E" w:rsidRDefault="00D43706" w:rsidP="00D43706">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Det foreslås i </w:t>
      </w:r>
      <w:r w:rsidR="009C3102" w:rsidRPr="00815B3E">
        <w:rPr>
          <w:rFonts w:eastAsia="Calibri" w:cs="Times New Roman"/>
          <w:bCs/>
          <w:color w:val="000000" w:themeColor="text1"/>
          <w:szCs w:val="24"/>
        </w:rPr>
        <w:t>ejendomsavancebeskatningsloven</w:t>
      </w:r>
      <w:r w:rsidR="00B02FCA" w:rsidRPr="00815B3E">
        <w:rPr>
          <w:rFonts w:eastAsia="Calibri" w:cs="Times New Roman"/>
          <w:bCs/>
          <w:color w:val="000000" w:themeColor="text1"/>
          <w:szCs w:val="24"/>
        </w:rPr>
        <w:t xml:space="preserve"> </w:t>
      </w:r>
      <w:r w:rsidRPr="00815B3E">
        <w:rPr>
          <w:rFonts w:eastAsia="Calibri" w:cs="Times New Roman"/>
          <w:bCs/>
          <w:i/>
          <w:iCs/>
          <w:color w:val="000000" w:themeColor="text1"/>
          <w:szCs w:val="24"/>
        </w:rPr>
        <w:t xml:space="preserve">§ 14 B, stk. </w:t>
      </w:r>
      <w:r w:rsidR="0009793B" w:rsidRPr="00815B3E">
        <w:rPr>
          <w:rFonts w:eastAsia="Calibri" w:cs="Times New Roman"/>
          <w:bCs/>
          <w:i/>
          <w:iCs/>
          <w:color w:val="000000" w:themeColor="text1"/>
          <w:szCs w:val="24"/>
        </w:rPr>
        <w:t>2</w:t>
      </w:r>
      <w:r w:rsidR="0089721D">
        <w:rPr>
          <w:rFonts w:eastAsia="Calibri" w:cs="Times New Roman"/>
          <w:bCs/>
          <w:i/>
          <w:iCs/>
          <w:color w:val="000000" w:themeColor="text1"/>
          <w:szCs w:val="24"/>
        </w:rPr>
        <w:t>,</w:t>
      </w:r>
      <w:r w:rsidRPr="00815B3E">
        <w:rPr>
          <w:rFonts w:eastAsia="Calibri" w:cs="Times New Roman"/>
          <w:bCs/>
          <w:color w:val="000000" w:themeColor="text1"/>
          <w:szCs w:val="24"/>
        </w:rPr>
        <w:t xml:space="preserve"> som en undtagelse til </w:t>
      </w:r>
      <w:r w:rsidR="00B02FCA" w:rsidRPr="00815B3E">
        <w:rPr>
          <w:rFonts w:eastAsia="Calibri" w:cs="Times New Roman"/>
          <w:bCs/>
          <w:color w:val="000000" w:themeColor="text1"/>
          <w:szCs w:val="24"/>
        </w:rPr>
        <w:t xml:space="preserve">§ 14 B, </w:t>
      </w:r>
      <w:r w:rsidRPr="00815B3E">
        <w:rPr>
          <w:rFonts w:eastAsia="Calibri" w:cs="Times New Roman"/>
          <w:bCs/>
          <w:color w:val="000000" w:themeColor="text1"/>
          <w:szCs w:val="24"/>
        </w:rPr>
        <w:t>stk. 1, at for nyerhvervede ejendomme, som udlejes i overvejende omfang,</w:t>
      </w:r>
      <w:r w:rsidR="00A474CC">
        <w:rPr>
          <w:rFonts w:eastAsia="Calibri" w:cs="Times New Roman"/>
          <w:bCs/>
          <w:color w:val="000000" w:themeColor="text1"/>
          <w:szCs w:val="24"/>
        </w:rPr>
        <w:t xml:space="preserve"> skal</w:t>
      </w:r>
      <w:r w:rsidRPr="00815B3E">
        <w:rPr>
          <w:rFonts w:eastAsia="Calibri" w:cs="Times New Roman"/>
          <w:bCs/>
          <w:color w:val="000000" w:themeColor="text1"/>
          <w:szCs w:val="24"/>
        </w:rPr>
        <w:t>lagerbeskatningen</w:t>
      </w:r>
      <w:r w:rsidR="00A474CC">
        <w:rPr>
          <w:rFonts w:eastAsia="Calibri" w:cs="Times New Roman"/>
          <w:bCs/>
          <w:color w:val="000000" w:themeColor="text1"/>
          <w:szCs w:val="24"/>
        </w:rPr>
        <w:t xml:space="preserve"> </w:t>
      </w:r>
      <w:proofErr w:type="gramStart"/>
      <w:r w:rsidR="00A474CC">
        <w:rPr>
          <w:rFonts w:eastAsia="Calibri" w:cs="Times New Roman"/>
          <w:bCs/>
          <w:color w:val="000000" w:themeColor="text1"/>
          <w:szCs w:val="24"/>
        </w:rPr>
        <w:t>indtræde</w:t>
      </w:r>
      <w:proofErr w:type="gramEnd"/>
      <w:r w:rsidRPr="00815B3E">
        <w:rPr>
          <w:rFonts w:eastAsia="Calibri" w:cs="Times New Roman"/>
          <w:bCs/>
          <w:color w:val="000000" w:themeColor="text1"/>
          <w:szCs w:val="24"/>
        </w:rPr>
        <w:t xml:space="preserve"> med virkning fra erhvervelsen</w:t>
      </w:r>
      <w:r w:rsidR="00B02FCA" w:rsidRPr="00815B3E">
        <w:rPr>
          <w:rFonts w:eastAsia="Calibri" w:cs="Times New Roman"/>
          <w:bCs/>
          <w:color w:val="000000" w:themeColor="text1"/>
          <w:szCs w:val="24"/>
        </w:rPr>
        <w:t xml:space="preserve">, </w:t>
      </w:r>
      <w:r w:rsidRPr="00815B3E">
        <w:rPr>
          <w:rFonts w:eastAsia="Calibri" w:cs="Times New Roman"/>
          <w:bCs/>
          <w:color w:val="000000" w:themeColor="text1"/>
          <w:szCs w:val="24"/>
        </w:rPr>
        <w:t>hvis betingelserne i</w:t>
      </w:r>
      <w:r w:rsidR="00B02FCA" w:rsidRPr="00815B3E">
        <w:rPr>
          <w:rFonts w:eastAsia="Calibri" w:cs="Times New Roman"/>
          <w:bCs/>
          <w:color w:val="000000" w:themeColor="text1"/>
          <w:szCs w:val="24"/>
        </w:rPr>
        <w:t xml:space="preserve"> den foreslåede </w:t>
      </w:r>
      <w:r w:rsidRPr="00815B3E">
        <w:rPr>
          <w:rFonts w:eastAsia="Calibri" w:cs="Times New Roman"/>
          <w:bCs/>
          <w:color w:val="000000" w:themeColor="text1"/>
          <w:szCs w:val="24"/>
        </w:rPr>
        <w:t>§ 14</w:t>
      </w:r>
      <w:r w:rsidR="00225AEE">
        <w:rPr>
          <w:rFonts w:eastAsia="Calibri" w:cs="Times New Roman"/>
          <w:bCs/>
          <w:color w:val="000000" w:themeColor="text1"/>
          <w:szCs w:val="24"/>
        </w:rPr>
        <w:t xml:space="preserve"> i </w:t>
      </w:r>
      <w:r w:rsidR="00225AEE" w:rsidRPr="00815B3E">
        <w:rPr>
          <w:rFonts w:eastAsia="Calibri" w:cs="Times New Roman"/>
          <w:bCs/>
          <w:color w:val="000000" w:themeColor="text1"/>
          <w:szCs w:val="24"/>
        </w:rPr>
        <w:t>ejendomsavancebeskatningsloven</w:t>
      </w:r>
      <w:r w:rsidRPr="00815B3E">
        <w:rPr>
          <w:rFonts w:eastAsia="Calibri" w:cs="Times New Roman"/>
          <w:bCs/>
          <w:color w:val="000000" w:themeColor="text1"/>
          <w:szCs w:val="24"/>
        </w:rPr>
        <w:t xml:space="preserve"> er opfyldt i det indkomstår, </w:t>
      </w:r>
      <w:r w:rsidR="0089721D">
        <w:rPr>
          <w:rFonts w:eastAsia="Calibri" w:cs="Times New Roman"/>
          <w:bCs/>
          <w:color w:val="000000" w:themeColor="text1"/>
          <w:szCs w:val="24"/>
        </w:rPr>
        <w:t>hvor</w:t>
      </w:r>
      <w:r w:rsidR="00502428" w:rsidRPr="00815B3E">
        <w:rPr>
          <w:rFonts w:eastAsia="Calibri" w:cs="Times New Roman"/>
          <w:bCs/>
          <w:color w:val="000000" w:themeColor="text1"/>
          <w:szCs w:val="24"/>
        </w:rPr>
        <w:t xml:space="preserve"> </w:t>
      </w:r>
      <w:r w:rsidRPr="00815B3E">
        <w:rPr>
          <w:rFonts w:eastAsia="Calibri" w:cs="Times New Roman"/>
          <w:bCs/>
          <w:color w:val="000000" w:themeColor="text1"/>
          <w:szCs w:val="24"/>
        </w:rPr>
        <w:t xml:space="preserve">erhvervelsen finder sted. </w:t>
      </w:r>
    </w:p>
    <w:p w14:paraId="0B261CB3" w14:textId="399866E1" w:rsidR="00E47F05" w:rsidRPr="00815B3E" w:rsidRDefault="00D43706" w:rsidP="00D43706">
      <w:pPr>
        <w:spacing w:after="240"/>
        <w:rPr>
          <w:rFonts w:eastAsia="Calibri" w:cs="Times New Roman"/>
          <w:bCs/>
          <w:color w:val="000000" w:themeColor="text1"/>
          <w:szCs w:val="24"/>
        </w:rPr>
      </w:pPr>
      <w:r w:rsidRPr="00815B3E">
        <w:rPr>
          <w:rFonts w:eastAsia="Calibri" w:cs="Times New Roman"/>
          <w:bCs/>
          <w:color w:val="000000" w:themeColor="text1"/>
          <w:szCs w:val="24"/>
        </w:rPr>
        <w:t>I denne situation er det ikke værdien ved begyndelsen af indkomståret, men ejendommens værdi ved erhvervelsen</w:t>
      </w:r>
      <w:r w:rsidR="00B02FCA" w:rsidRPr="00815B3E">
        <w:rPr>
          <w:rFonts w:eastAsia="Calibri" w:cs="Times New Roman"/>
          <w:bCs/>
          <w:color w:val="000000" w:themeColor="text1"/>
          <w:szCs w:val="24"/>
        </w:rPr>
        <w:t xml:space="preserve">, dvs. den aftalte </w:t>
      </w:r>
      <w:r w:rsidRPr="00815B3E">
        <w:rPr>
          <w:rFonts w:eastAsia="Calibri" w:cs="Times New Roman"/>
          <w:bCs/>
          <w:color w:val="000000" w:themeColor="text1"/>
          <w:szCs w:val="24"/>
        </w:rPr>
        <w:t>anskaffelsessum</w:t>
      </w:r>
      <w:r w:rsidR="00B02FCA" w:rsidRPr="00815B3E">
        <w:rPr>
          <w:rFonts w:eastAsia="Calibri" w:cs="Times New Roman"/>
          <w:bCs/>
          <w:color w:val="000000" w:themeColor="text1"/>
          <w:szCs w:val="24"/>
        </w:rPr>
        <w:t xml:space="preserve"> i forbindelse med erhvervelse af ejendommen</w:t>
      </w:r>
      <w:r w:rsidRPr="00815B3E">
        <w:rPr>
          <w:rFonts w:eastAsia="Calibri" w:cs="Times New Roman"/>
          <w:bCs/>
          <w:color w:val="000000" w:themeColor="text1"/>
          <w:szCs w:val="24"/>
        </w:rPr>
        <w:t>, der skal anvendes som indgangsværdi</w:t>
      </w:r>
      <w:r w:rsidR="00C716AF" w:rsidRPr="00815B3E">
        <w:rPr>
          <w:rFonts w:eastAsia="Calibri" w:cs="Times New Roman"/>
          <w:bCs/>
          <w:color w:val="000000" w:themeColor="text1"/>
          <w:szCs w:val="24"/>
        </w:rPr>
        <w:t xml:space="preserve"> ved den foreslåede lagerbeskatnings indtræden</w:t>
      </w:r>
      <w:r w:rsidRPr="00815B3E">
        <w:rPr>
          <w:rFonts w:eastAsia="Calibri" w:cs="Times New Roman"/>
          <w:bCs/>
          <w:color w:val="000000" w:themeColor="text1"/>
          <w:szCs w:val="24"/>
        </w:rPr>
        <w:t>. Denne værdi fremgår af aftalen om erhvervelsen af ejendommen og kendes således i forvejen.</w:t>
      </w:r>
      <w:r w:rsidR="00B02FCA" w:rsidRPr="00815B3E">
        <w:rPr>
          <w:rFonts w:eastAsia="Calibri" w:cs="Times New Roman"/>
          <w:bCs/>
          <w:color w:val="000000" w:themeColor="text1"/>
          <w:szCs w:val="24"/>
        </w:rPr>
        <w:t xml:space="preserve"> </w:t>
      </w:r>
    </w:p>
    <w:p w14:paraId="19910805" w14:textId="554EC449" w:rsidR="00A34C03" w:rsidRDefault="00CB2F49" w:rsidP="00CB2F49">
      <w:pPr>
        <w:spacing w:after="240"/>
        <w:rPr>
          <w:rFonts w:eastAsia="Calibri" w:cs="Times New Roman"/>
          <w:bCs/>
          <w:color w:val="000000" w:themeColor="text1"/>
          <w:szCs w:val="24"/>
        </w:rPr>
      </w:pPr>
      <w:r w:rsidRPr="00815B3E">
        <w:rPr>
          <w:rFonts w:eastAsia="Calibri" w:cs="Times New Roman"/>
          <w:bCs/>
          <w:color w:val="000000" w:themeColor="text1"/>
          <w:szCs w:val="24"/>
        </w:rPr>
        <w:t>Hvis et selskab ved begyndelsen af indkomståret ejer udlejningsejendom</w:t>
      </w:r>
      <w:r w:rsidR="004110B5">
        <w:rPr>
          <w:rFonts w:eastAsia="Calibri" w:cs="Times New Roman"/>
          <w:bCs/>
          <w:color w:val="000000" w:themeColor="text1"/>
          <w:szCs w:val="24"/>
        </w:rPr>
        <w:t>me</w:t>
      </w:r>
      <w:r w:rsidR="00A34C03">
        <w:rPr>
          <w:rFonts w:eastAsia="Calibri" w:cs="Times New Roman"/>
          <w:bCs/>
          <w:color w:val="000000" w:themeColor="text1"/>
          <w:szCs w:val="24"/>
        </w:rPr>
        <w:t xml:space="preserve">, der har en værdi på </w:t>
      </w:r>
      <w:r w:rsidRPr="00815B3E">
        <w:rPr>
          <w:rFonts w:eastAsia="Calibri" w:cs="Times New Roman"/>
          <w:bCs/>
          <w:color w:val="000000" w:themeColor="text1"/>
          <w:szCs w:val="24"/>
        </w:rPr>
        <w:t>80 mio. kr. og i løbet af indkomståret køber en udlejningsejendom for 40 mio. kr., så vi</w:t>
      </w:r>
      <w:r w:rsidR="004110B5">
        <w:rPr>
          <w:rFonts w:eastAsia="Calibri" w:cs="Times New Roman"/>
          <w:bCs/>
          <w:color w:val="000000" w:themeColor="text1"/>
          <w:szCs w:val="24"/>
        </w:rPr>
        <w:t>l</w:t>
      </w:r>
      <w:r w:rsidRPr="00815B3E">
        <w:rPr>
          <w:rFonts w:eastAsia="Calibri" w:cs="Times New Roman"/>
          <w:bCs/>
          <w:color w:val="000000" w:themeColor="text1"/>
          <w:szCs w:val="24"/>
        </w:rPr>
        <w:t xml:space="preserve"> </w:t>
      </w:r>
      <w:r w:rsidR="00A34C03">
        <w:rPr>
          <w:rFonts w:eastAsia="Calibri" w:cs="Times New Roman"/>
          <w:bCs/>
          <w:color w:val="000000" w:themeColor="text1"/>
          <w:szCs w:val="24"/>
        </w:rPr>
        <w:t xml:space="preserve">alle ejendommene efter forslaget </w:t>
      </w:r>
      <w:r w:rsidRPr="00815B3E">
        <w:rPr>
          <w:rFonts w:eastAsia="Calibri" w:cs="Times New Roman"/>
          <w:bCs/>
          <w:color w:val="000000" w:themeColor="text1"/>
          <w:szCs w:val="24"/>
        </w:rPr>
        <w:t>blive omfattet af lagerbeskatningen</w:t>
      </w:r>
      <w:r w:rsidR="00A34C03">
        <w:rPr>
          <w:rFonts w:eastAsia="Calibri" w:cs="Times New Roman"/>
          <w:bCs/>
          <w:color w:val="000000" w:themeColor="text1"/>
          <w:szCs w:val="24"/>
        </w:rPr>
        <w:t xml:space="preserve">, </w:t>
      </w:r>
      <w:r w:rsidR="00E466DC">
        <w:rPr>
          <w:rFonts w:eastAsia="Calibri" w:cs="Times New Roman"/>
          <w:bCs/>
          <w:color w:val="000000" w:themeColor="text1"/>
          <w:szCs w:val="24"/>
        </w:rPr>
        <w:t>hvis</w:t>
      </w:r>
      <w:r w:rsidR="00A34C03">
        <w:rPr>
          <w:rFonts w:eastAsia="Calibri" w:cs="Times New Roman"/>
          <w:bCs/>
          <w:color w:val="000000" w:themeColor="text1"/>
          <w:szCs w:val="24"/>
        </w:rPr>
        <w:t xml:space="preserve"> værdien </w:t>
      </w:r>
      <w:r w:rsidR="00E466DC">
        <w:rPr>
          <w:rFonts w:eastAsia="Calibri" w:cs="Times New Roman"/>
          <w:bCs/>
          <w:color w:val="000000" w:themeColor="text1"/>
          <w:szCs w:val="24"/>
        </w:rPr>
        <w:t xml:space="preserve">af ejendommene </w:t>
      </w:r>
      <w:r w:rsidR="00A34C03">
        <w:rPr>
          <w:rFonts w:eastAsia="Calibri" w:cs="Times New Roman"/>
          <w:bCs/>
          <w:color w:val="000000" w:themeColor="text1"/>
          <w:szCs w:val="24"/>
        </w:rPr>
        <w:t xml:space="preserve">ved udløbet af indkomståret </w:t>
      </w:r>
      <w:r w:rsidR="00E466DC">
        <w:rPr>
          <w:rFonts w:eastAsia="Calibri" w:cs="Times New Roman"/>
          <w:bCs/>
          <w:color w:val="000000" w:themeColor="text1"/>
          <w:szCs w:val="24"/>
        </w:rPr>
        <w:t xml:space="preserve">fortsat er over </w:t>
      </w:r>
      <w:r w:rsidR="00A34C03">
        <w:rPr>
          <w:rFonts w:eastAsia="Calibri" w:cs="Times New Roman"/>
          <w:bCs/>
          <w:color w:val="000000" w:themeColor="text1"/>
          <w:szCs w:val="24"/>
        </w:rPr>
        <w:t>1</w:t>
      </w:r>
      <w:r w:rsidR="00E466DC">
        <w:rPr>
          <w:rFonts w:eastAsia="Calibri" w:cs="Times New Roman"/>
          <w:bCs/>
          <w:color w:val="000000" w:themeColor="text1"/>
          <w:szCs w:val="24"/>
        </w:rPr>
        <w:t>0</w:t>
      </w:r>
      <w:r w:rsidR="00A34C03">
        <w:rPr>
          <w:rFonts w:eastAsia="Calibri" w:cs="Times New Roman"/>
          <w:bCs/>
          <w:color w:val="000000" w:themeColor="text1"/>
          <w:szCs w:val="24"/>
        </w:rPr>
        <w:t>0 mio. kr</w:t>
      </w:r>
      <w:r w:rsidRPr="00815B3E">
        <w:rPr>
          <w:rFonts w:eastAsia="Calibri" w:cs="Times New Roman"/>
          <w:bCs/>
          <w:color w:val="000000" w:themeColor="text1"/>
          <w:szCs w:val="24"/>
        </w:rPr>
        <w:t xml:space="preserve">. </w:t>
      </w:r>
    </w:p>
    <w:p w14:paraId="440D1895" w14:textId="5B45051C" w:rsidR="00CB2F49" w:rsidRPr="00815B3E" w:rsidRDefault="00A34C03" w:rsidP="00CB2F49">
      <w:pPr>
        <w:spacing w:after="240"/>
        <w:rPr>
          <w:rFonts w:eastAsia="Calibri" w:cs="Times New Roman"/>
          <w:bCs/>
          <w:color w:val="000000" w:themeColor="text1"/>
          <w:szCs w:val="24"/>
        </w:rPr>
      </w:pPr>
      <w:r>
        <w:rPr>
          <w:rFonts w:eastAsia="Calibri" w:cs="Times New Roman"/>
          <w:bCs/>
          <w:color w:val="000000" w:themeColor="text1"/>
          <w:szCs w:val="24"/>
        </w:rPr>
        <w:t>Lagerbeskatningen vil</w:t>
      </w:r>
      <w:r w:rsidR="00E466DC">
        <w:rPr>
          <w:rFonts w:eastAsia="Calibri" w:cs="Times New Roman"/>
          <w:bCs/>
          <w:color w:val="000000" w:themeColor="text1"/>
          <w:szCs w:val="24"/>
        </w:rPr>
        <w:t xml:space="preserve"> efter forslaget</w:t>
      </w:r>
      <w:r>
        <w:rPr>
          <w:rFonts w:eastAsia="Calibri" w:cs="Times New Roman"/>
          <w:bCs/>
          <w:color w:val="000000" w:themeColor="text1"/>
          <w:szCs w:val="24"/>
        </w:rPr>
        <w:t xml:space="preserve"> indtræde ved begyndelsen af indkomståret for de u</w:t>
      </w:r>
      <w:r w:rsidR="00CB2F49" w:rsidRPr="00815B3E">
        <w:rPr>
          <w:rFonts w:eastAsia="Calibri" w:cs="Times New Roman"/>
          <w:bCs/>
          <w:color w:val="000000" w:themeColor="text1"/>
          <w:szCs w:val="24"/>
        </w:rPr>
        <w:t>dlejningsejendomme</w:t>
      </w:r>
      <w:r>
        <w:rPr>
          <w:rFonts w:eastAsia="Calibri" w:cs="Times New Roman"/>
          <w:bCs/>
          <w:color w:val="000000" w:themeColor="text1"/>
          <w:szCs w:val="24"/>
        </w:rPr>
        <w:t>, som selskabet ejede</w:t>
      </w:r>
      <w:r w:rsidR="00CB2F49" w:rsidRPr="00815B3E">
        <w:rPr>
          <w:rFonts w:eastAsia="Calibri" w:cs="Times New Roman"/>
          <w:bCs/>
          <w:color w:val="000000" w:themeColor="text1"/>
          <w:szCs w:val="24"/>
        </w:rPr>
        <w:t xml:space="preserve"> ved begyndelsen af indkomståret</w:t>
      </w:r>
      <w:r>
        <w:rPr>
          <w:rFonts w:eastAsia="Calibri" w:cs="Times New Roman"/>
          <w:bCs/>
          <w:color w:val="000000" w:themeColor="text1"/>
          <w:szCs w:val="24"/>
        </w:rPr>
        <w:t xml:space="preserve">, mens lagerbeskatningen vil indtræde </w:t>
      </w:r>
      <w:r w:rsidR="00E466DC">
        <w:rPr>
          <w:rFonts w:eastAsia="Calibri" w:cs="Times New Roman"/>
          <w:bCs/>
          <w:color w:val="000000" w:themeColor="text1"/>
          <w:szCs w:val="24"/>
        </w:rPr>
        <w:t xml:space="preserve">på tidspunktet for </w:t>
      </w:r>
      <w:r>
        <w:rPr>
          <w:rFonts w:eastAsia="Calibri" w:cs="Times New Roman"/>
          <w:bCs/>
          <w:color w:val="000000" w:themeColor="text1"/>
          <w:szCs w:val="24"/>
        </w:rPr>
        <w:t xml:space="preserve">erhvervelsen for den udlejningsejendom, som selskabet købte i løbet af indkomståret. </w:t>
      </w:r>
    </w:p>
    <w:p w14:paraId="4547A291" w14:textId="6BDDE15A" w:rsidR="00182E1D" w:rsidRPr="00815B3E" w:rsidRDefault="00D43706" w:rsidP="00D43706">
      <w:pPr>
        <w:spacing w:after="240"/>
        <w:rPr>
          <w:rFonts w:eastAsia="Calibri" w:cs="Times New Roman"/>
          <w:bCs/>
          <w:color w:val="000000" w:themeColor="text1"/>
          <w:szCs w:val="24"/>
        </w:rPr>
      </w:pPr>
      <w:r w:rsidRPr="00815B3E">
        <w:rPr>
          <w:rFonts w:eastAsia="Calibri" w:cs="Times New Roman"/>
          <w:bCs/>
          <w:color w:val="000000" w:themeColor="text1"/>
          <w:szCs w:val="24"/>
        </w:rPr>
        <w:lastRenderedPageBreak/>
        <w:t>Lagerbeskatningen indtræder</w:t>
      </w:r>
      <w:r w:rsidR="00D82F5F" w:rsidRPr="00815B3E">
        <w:rPr>
          <w:rFonts w:eastAsia="Calibri" w:cs="Times New Roman"/>
          <w:bCs/>
          <w:color w:val="000000" w:themeColor="text1"/>
          <w:szCs w:val="24"/>
        </w:rPr>
        <w:t xml:space="preserve"> efter forslaget</w:t>
      </w:r>
      <w:r w:rsidRPr="00815B3E">
        <w:rPr>
          <w:rFonts w:eastAsia="Calibri" w:cs="Times New Roman"/>
          <w:bCs/>
          <w:color w:val="000000" w:themeColor="text1"/>
          <w:szCs w:val="24"/>
        </w:rPr>
        <w:t xml:space="preserve"> i </w:t>
      </w:r>
      <w:r w:rsidR="00D82F5F" w:rsidRPr="00815B3E">
        <w:rPr>
          <w:rFonts w:eastAsia="Calibri" w:cs="Times New Roman"/>
          <w:bCs/>
          <w:color w:val="000000" w:themeColor="text1"/>
          <w:szCs w:val="24"/>
        </w:rPr>
        <w:t xml:space="preserve">det </w:t>
      </w:r>
      <w:r w:rsidRPr="00815B3E">
        <w:rPr>
          <w:rFonts w:eastAsia="Calibri" w:cs="Times New Roman"/>
          <w:bCs/>
          <w:color w:val="000000" w:themeColor="text1"/>
          <w:szCs w:val="24"/>
        </w:rPr>
        <w:t xml:space="preserve">indkomstår, </w:t>
      </w:r>
      <w:r w:rsidR="00D82F5F" w:rsidRPr="00815B3E">
        <w:rPr>
          <w:rFonts w:eastAsia="Calibri" w:cs="Times New Roman"/>
          <w:bCs/>
          <w:color w:val="000000" w:themeColor="text1"/>
          <w:szCs w:val="24"/>
        </w:rPr>
        <w:t xml:space="preserve">hvor erhvervelsen finder sted, </w:t>
      </w:r>
      <w:r w:rsidRPr="00815B3E">
        <w:rPr>
          <w:rFonts w:eastAsia="Calibri" w:cs="Times New Roman"/>
          <w:bCs/>
          <w:color w:val="000000" w:themeColor="text1"/>
          <w:szCs w:val="24"/>
        </w:rPr>
        <w:t>uanset om udlejningen</w:t>
      </w:r>
      <w:r w:rsidR="00D82F5F" w:rsidRPr="00815B3E">
        <w:rPr>
          <w:rFonts w:eastAsia="Calibri" w:cs="Times New Roman"/>
          <w:bCs/>
          <w:color w:val="000000" w:themeColor="text1"/>
          <w:szCs w:val="24"/>
        </w:rPr>
        <w:t xml:space="preserve"> i overvejende omfang</w:t>
      </w:r>
      <w:r w:rsidRPr="00815B3E">
        <w:rPr>
          <w:rFonts w:eastAsia="Calibri" w:cs="Times New Roman"/>
          <w:bCs/>
          <w:color w:val="000000" w:themeColor="text1"/>
          <w:szCs w:val="24"/>
        </w:rPr>
        <w:t xml:space="preserve"> finder sted allerede ved erhvervelsen af ejendommen eller først </w:t>
      </w:r>
      <w:r w:rsidR="00D82F5F" w:rsidRPr="00815B3E">
        <w:rPr>
          <w:rFonts w:eastAsia="Calibri" w:cs="Times New Roman"/>
          <w:bCs/>
          <w:color w:val="000000" w:themeColor="text1"/>
          <w:szCs w:val="24"/>
        </w:rPr>
        <w:t xml:space="preserve">efterfølgende </w:t>
      </w:r>
      <w:r w:rsidRPr="00815B3E">
        <w:rPr>
          <w:rFonts w:eastAsia="Calibri" w:cs="Times New Roman"/>
          <w:bCs/>
          <w:color w:val="000000" w:themeColor="text1"/>
          <w:szCs w:val="24"/>
        </w:rPr>
        <w:t>i løbet af samme indkomstår. Hvis ejendommen hverken udlejes ved erhvervelsen eller i løbet af erhvervelsesåret, vil ejendommen derimod ikke overgå til lagerbeskatning i erhvervelsesåret, men først fra et senere indkomstår, hvor ejendommen eventuelt overgår til udlejning i overvejende omfang.</w:t>
      </w:r>
      <w:r w:rsidR="004110B5">
        <w:rPr>
          <w:rFonts w:eastAsia="Calibri" w:cs="Times New Roman"/>
          <w:bCs/>
          <w:color w:val="000000" w:themeColor="text1"/>
          <w:szCs w:val="24"/>
        </w:rPr>
        <w:t xml:space="preserve"> </w:t>
      </w:r>
    </w:p>
    <w:p w14:paraId="02007BC6" w14:textId="7869F89D" w:rsidR="007C524E" w:rsidRDefault="001F5866" w:rsidP="007C524E">
      <w:pPr>
        <w:spacing w:after="240"/>
        <w:rPr>
          <w:rFonts w:eastAsia="Calibri" w:cs="Times New Roman"/>
          <w:bCs/>
          <w:color w:val="000000" w:themeColor="text1"/>
          <w:szCs w:val="24"/>
        </w:rPr>
      </w:pPr>
      <w:r>
        <w:rPr>
          <w:rFonts w:eastAsia="Calibri" w:cs="Times New Roman"/>
          <w:bCs/>
          <w:color w:val="000000" w:themeColor="text1"/>
          <w:szCs w:val="24"/>
        </w:rPr>
        <w:t xml:space="preserve">En ejendom vil efter forslaget kunne overgå fra realisationsbeskatning til lagerbeskatning derved, at aktierne i det selskab, som ejer ejendommen, skifter ejer. Det vil ikke være selve ejendommen, men aktierne i det selskab, der ejer ejendommen, der overdrages. </w:t>
      </w:r>
    </w:p>
    <w:p w14:paraId="2A42CD41" w14:textId="2D719AFB" w:rsidR="007C524E" w:rsidRDefault="007C524E" w:rsidP="007C524E">
      <w:pPr>
        <w:spacing w:after="240"/>
        <w:rPr>
          <w:rFonts w:eastAsia="Calibri" w:cs="Times New Roman"/>
          <w:bCs/>
          <w:color w:val="000000" w:themeColor="text1"/>
          <w:szCs w:val="24"/>
        </w:rPr>
      </w:pPr>
      <w:r>
        <w:rPr>
          <w:rFonts w:eastAsia="Calibri" w:cs="Times New Roman"/>
          <w:bCs/>
          <w:color w:val="000000" w:themeColor="text1"/>
          <w:szCs w:val="24"/>
        </w:rPr>
        <w:t>Hvis ejendommen i forvejen omfattes af lagerbeskatning, vil den efter forslaget fortsat forblive lagerbeskattet, idet ejendommen fortsat ejes af det samme selskab, jf. forslaget i ejendomsavancebeskatningslovens § 14, stk. 3, hvorefter en ejendom vedbliver med at være lagerbeskattet, så længe den skattepligtige ejer ejendommen. I denne situation vil der ikke opstå spørgsmål om overgang til lagerbeskatning.</w:t>
      </w:r>
    </w:p>
    <w:p w14:paraId="7A535876" w14:textId="631CC262" w:rsidR="007C524E" w:rsidRDefault="007C524E" w:rsidP="007C524E">
      <w:pPr>
        <w:spacing w:after="240"/>
        <w:rPr>
          <w:rFonts w:eastAsia="Calibri" w:cs="Times New Roman"/>
          <w:bCs/>
          <w:color w:val="000000" w:themeColor="text1"/>
          <w:szCs w:val="24"/>
        </w:rPr>
      </w:pPr>
      <w:r>
        <w:rPr>
          <w:rFonts w:eastAsia="Calibri" w:cs="Times New Roman"/>
          <w:bCs/>
          <w:color w:val="000000" w:themeColor="text1"/>
          <w:szCs w:val="24"/>
        </w:rPr>
        <w:t>Det samme gælder, hvis ejendommen hidtil har været omfattet af realisationsbeskatning og fortsat skal realisationsbeskattes efter, at det selskab, der ejer ejendommen, har skiftet ejer.</w:t>
      </w:r>
    </w:p>
    <w:p w14:paraId="65BBCF8C" w14:textId="3E266E38" w:rsidR="007C524E" w:rsidRDefault="007C524E" w:rsidP="00EC1E34">
      <w:pPr>
        <w:spacing w:after="240"/>
        <w:rPr>
          <w:rFonts w:eastAsia="Calibri" w:cs="Times New Roman"/>
          <w:bCs/>
          <w:color w:val="000000" w:themeColor="text1"/>
          <w:szCs w:val="24"/>
        </w:rPr>
      </w:pPr>
      <w:r>
        <w:rPr>
          <w:rFonts w:eastAsia="Calibri" w:cs="Times New Roman"/>
          <w:bCs/>
          <w:color w:val="000000" w:themeColor="text1"/>
          <w:szCs w:val="24"/>
        </w:rPr>
        <w:t>Det vil imidlertid efter forslaget kunne forekomme, at en overdragelse af aktierne i et selskab, der ejer en udlejningsejendom, indebærer</w:t>
      </w:r>
      <w:r w:rsidR="00A70489">
        <w:rPr>
          <w:rFonts w:eastAsia="Calibri" w:cs="Times New Roman"/>
          <w:bCs/>
          <w:color w:val="000000" w:themeColor="text1"/>
          <w:szCs w:val="24"/>
        </w:rPr>
        <w:t>, at ejendommen overgår til lagerbeskatning</w:t>
      </w:r>
      <w:r w:rsidR="002C0485">
        <w:rPr>
          <w:rFonts w:eastAsia="Calibri" w:cs="Times New Roman"/>
          <w:bCs/>
          <w:color w:val="000000" w:themeColor="text1"/>
          <w:szCs w:val="24"/>
        </w:rPr>
        <w:t>, fordi ejendommen kommer ind under en koncern, der lagerbeskattes</w:t>
      </w:r>
      <w:r w:rsidR="00A70489">
        <w:rPr>
          <w:rFonts w:eastAsia="Calibri" w:cs="Times New Roman"/>
          <w:bCs/>
          <w:color w:val="000000" w:themeColor="text1"/>
          <w:szCs w:val="24"/>
        </w:rPr>
        <w:t>.</w:t>
      </w:r>
    </w:p>
    <w:p w14:paraId="2B9DAD3A" w14:textId="1BABAE10" w:rsidR="00EC1E34" w:rsidRPr="00815B3E" w:rsidRDefault="00A70489" w:rsidP="00EC1E34">
      <w:pPr>
        <w:spacing w:after="240"/>
        <w:rPr>
          <w:rFonts w:eastAsia="Calibri" w:cs="Times New Roman"/>
          <w:bCs/>
          <w:color w:val="000000" w:themeColor="text1"/>
          <w:szCs w:val="24"/>
        </w:rPr>
      </w:pPr>
      <w:r>
        <w:rPr>
          <w:rFonts w:eastAsia="Calibri" w:cs="Times New Roman"/>
          <w:bCs/>
          <w:color w:val="000000" w:themeColor="text1"/>
          <w:szCs w:val="24"/>
        </w:rPr>
        <w:t>Det</w:t>
      </w:r>
      <w:r w:rsidR="00EC1E34" w:rsidRPr="00815B3E">
        <w:rPr>
          <w:rFonts w:eastAsia="Calibri" w:cs="Times New Roman"/>
          <w:bCs/>
          <w:color w:val="000000" w:themeColor="text1"/>
          <w:szCs w:val="24"/>
        </w:rPr>
        <w:t xml:space="preserve"> kan </w:t>
      </w:r>
      <w:r>
        <w:rPr>
          <w:rFonts w:eastAsia="Calibri" w:cs="Times New Roman"/>
          <w:bCs/>
          <w:color w:val="000000" w:themeColor="text1"/>
          <w:szCs w:val="24"/>
        </w:rPr>
        <w:t>f.eks.</w:t>
      </w:r>
      <w:r w:rsidR="00EC1E34" w:rsidRPr="00815B3E">
        <w:rPr>
          <w:rFonts w:eastAsia="Calibri" w:cs="Times New Roman"/>
          <w:bCs/>
          <w:color w:val="000000" w:themeColor="text1"/>
          <w:szCs w:val="24"/>
        </w:rPr>
        <w:t xml:space="preserve"> ske derved, at en koncern tilkøber aktierne i et selskab, der ejer en ejendom, som udlejes i overvejende omfang</w:t>
      </w:r>
      <w:r w:rsidR="00A301BC">
        <w:rPr>
          <w:rFonts w:eastAsia="Calibri" w:cs="Times New Roman"/>
          <w:bCs/>
          <w:color w:val="000000" w:themeColor="text1"/>
          <w:szCs w:val="24"/>
        </w:rPr>
        <w:t>, men som ikke omfattes af lagerbeskatningen</w:t>
      </w:r>
      <w:r w:rsidR="00EC1E34" w:rsidRPr="00815B3E">
        <w:rPr>
          <w:rFonts w:eastAsia="Calibri" w:cs="Times New Roman"/>
          <w:bCs/>
          <w:color w:val="000000" w:themeColor="text1"/>
          <w:szCs w:val="24"/>
        </w:rPr>
        <w:t xml:space="preserve">. Det købte selskab bliver herefter et sambeskattet datterselskab i den købende koncern. Hvis den købende koncern i forvejen omfattes af lagerbeskatningen, fordi koncernen allerede ejer udlejningsejendomme for mere end 100 mio. kr., vil datterselskabets ejendom efter forslaget også skulle omfattes af lagerbeskatningen. </w:t>
      </w:r>
    </w:p>
    <w:p w14:paraId="1F3C5487" w14:textId="4CA3E928" w:rsidR="002C297A" w:rsidRDefault="001F5866">
      <w:pPr>
        <w:spacing w:after="240"/>
        <w:rPr>
          <w:rFonts w:eastAsia="Calibri" w:cs="Times New Roman"/>
          <w:iCs/>
          <w:color w:val="000000" w:themeColor="text1"/>
          <w:szCs w:val="24"/>
        </w:rPr>
      </w:pPr>
      <w:r>
        <w:rPr>
          <w:rFonts w:eastAsia="Calibri" w:cs="Times New Roman"/>
          <w:iCs/>
          <w:color w:val="000000" w:themeColor="text1"/>
          <w:szCs w:val="24"/>
        </w:rPr>
        <w:t>Ved købet af aktierne etableres der således efter gældende regler sambeskatning mellem den købende koncern og det tilkøbte selskab</w:t>
      </w:r>
      <w:r w:rsidR="00A70489">
        <w:rPr>
          <w:rFonts w:eastAsia="Calibri" w:cs="Times New Roman"/>
          <w:iCs/>
          <w:color w:val="000000" w:themeColor="text1"/>
          <w:szCs w:val="24"/>
        </w:rPr>
        <w:t>. Sambeskatningen etableres</w:t>
      </w:r>
      <w:r>
        <w:rPr>
          <w:rFonts w:eastAsia="Calibri" w:cs="Times New Roman"/>
          <w:iCs/>
          <w:color w:val="000000" w:themeColor="text1"/>
          <w:szCs w:val="24"/>
        </w:rPr>
        <w:t xml:space="preserve"> med virkning fra købstidspunktet. Den andel af selskabets indkomst, hvor der har været koncernforbindelse, medregnes i sambeskatningsindkomsten for den købende koncern, jf. selskabsskattelovens § 31, stk. 5. Den andel af selskabets indkomst, der vedrører tiden før etableringen af </w:t>
      </w:r>
      <w:r>
        <w:rPr>
          <w:rFonts w:eastAsia="Calibri" w:cs="Times New Roman"/>
          <w:iCs/>
          <w:color w:val="000000" w:themeColor="text1"/>
          <w:szCs w:val="24"/>
        </w:rPr>
        <w:lastRenderedPageBreak/>
        <w:t>sambeskatningen, medregnes ikke i køberkoncernens sambeskatning, men alene i selskabets egen indkomstopgørelse</w:t>
      </w:r>
      <w:r w:rsidR="002C0485">
        <w:rPr>
          <w:rFonts w:eastAsia="Calibri" w:cs="Times New Roman"/>
          <w:iCs/>
          <w:color w:val="000000" w:themeColor="text1"/>
          <w:szCs w:val="24"/>
        </w:rPr>
        <w:t xml:space="preserve"> eller eventuelt i en sambeskatning hos sælger</w:t>
      </w:r>
      <w:r>
        <w:rPr>
          <w:rFonts w:eastAsia="Calibri" w:cs="Times New Roman"/>
          <w:iCs/>
          <w:color w:val="000000" w:themeColor="text1"/>
          <w:szCs w:val="24"/>
        </w:rPr>
        <w:t>.</w:t>
      </w:r>
    </w:p>
    <w:p w14:paraId="19BCE1D5" w14:textId="68346C91" w:rsidR="001F5866" w:rsidRDefault="00A70489">
      <w:pPr>
        <w:spacing w:after="240"/>
        <w:rPr>
          <w:rFonts w:eastAsia="Calibri" w:cs="Times New Roman"/>
          <w:iCs/>
          <w:color w:val="000000" w:themeColor="text1"/>
          <w:szCs w:val="24"/>
        </w:rPr>
      </w:pPr>
      <w:r>
        <w:rPr>
          <w:rFonts w:eastAsia="Calibri" w:cs="Times New Roman"/>
          <w:iCs/>
          <w:color w:val="000000" w:themeColor="text1"/>
          <w:szCs w:val="24"/>
        </w:rPr>
        <w:t>Ejerskiftet af aktierne må</w:t>
      </w:r>
      <w:r w:rsidR="002C0485">
        <w:rPr>
          <w:rFonts w:eastAsia="Calibri" w:cs="Times New Roman"/>
          <w:iCs/>
          <w:color w:val="000000" w:themeColor="text1"/>
          <w:szCs w:val="24"/>
        </w:rPr>
        <w:t xml:space="preserve"> hos køberkoncernen</w:t>
      </w:r>
      <w:r>
        <w:rPr>
          <w:rFonts w:eastAsia="Calibri" w:cs="Times New Roman"/>
          <w:iCs/>
          <w:color w:val="000000" w:themeColor="text1"/>
          <w:szCs w:val="24"/>
        </w:rPr>
        <w:t xml:space="preserve"> i </w:t>
      </w:r>
      <w:r w:rsidR="00BD1D95">
        <w:rPr>
          <w:rFonts w:eastAsia="Calibri" w:cs="Times New Roman"/>
          <w:iCs/>
          <w:color w:val="000000" w:themeColor="text1"/>
          <w:szCs w:val="24"/>
        </w:rPr>
        <w:t>relation til overgang til lagerbeskatning</w:t>
      </w:r>
      <w:r>
        <w:rPr>
          <w:rFonts w:eastAsia="Calibri" w:cs="Times New Roman"/>
          <w:iCs/>
          <w:color w:val="000000" w:themeColor="text1"/>
          <w:szCs w:val="24"/>
        </w:rPr>
        <w:t xml:space="preserve"> sidestilles med, at ejendommen har skiftet ejer på tidspunktet for køberkoncernens erhvervelse af aktierne i det købte selskab. </w:t>
      </w:r>
      <w:r w:rsidR="00BD1D95">
        <w:rPr>
          <w:rFonts w:eastAsia="Calibri" w:cs="Times New Roman"/>
          <w:iCs/>
          <w:color w:val="000000" w:themeColor="text1"/>
          <w:szCs w:val="24"/>
        </w:rPr>
        <w:t>Det tilkøbte selskabs u</w:t>
      </w:r>
      <w:r>
        <w:rPr>
          <w:rFonts w:eastAsia="Calibri" w:cs="Times New Roman"/>
          <w:iCs/>
          <w:color w:val="000000" w:themeColor="text1"/>
          <w:szCs w:val="24"/>
        </w:rPr>
        <w:t>dlejningsejendom vil derfor efter forslaget overgå til lagerbeskatning med virkning fra køberkoncernens erhvervelse af aktierne, jf. den foreslåede § 14 B, stk. 2</w:t>
      </w:r>
      <w:r w:rsidR="00182E1D">
        <w:rPr>
          <w:rFonts w:eastAsia="Calibri" w:cs="Times New Roman"/>
          <w:iCs/>
          <w:color w:val="000000" w:themeColor="text1"/>
          <w:szCs w:val="24"/>
        </w:rPr>
        <w:t>,</w:t>
      </w:r>
      <w:r>
        <w:rPr>
          <w:rFonts w:eastAsia="Calibri" w:cs="Times New Roman"/>
          <w:iCs/>
          <w:color w:val="000000" w:themeColor="text1"/>
          <w:szCs w:val="24"/>
        </w:rPr>
        <w:t xml:space="preserve"> i ejendomsavancebeskatningsloven.</w:t>
      </w:r>
    </w:p>
    <w:p w14:paraId="455F5C9C" w14:textId="0BB9E13A" w:rsidR="00BD1D95" w:rsidRDefault="00A70489">
      <w:pPr>
        <w:spacing w:after="240"/>
        <w:rPr>
          <w:rFonts w:eastAsia="Calibri" w:cs="Times New Roman"/>
          <w:iCs/>
          <w:color w:val="000000" w:themeColor="text1"/>
          <w:szCs w:val="24"/>
        </w:rPr>
      </w:pPr>
      <w:r>
        <w:rPr>
          <w:rFonts w:eastAsia="Calibri" w:cs="Times New Roman"/>
          <w:iCs/>
          <w:color w:val="000000" w:themeColor="text1"/>
          <w:szCs w:val="24"/>
        </w:rPr>
        <w:t xml:space="preserve">Indgangsværdien for ejendommen ved overgangen </w:t>
      </w:r>
      <w:r w:rsidR="00BD1D95">
        <w:rPr>
          <w:rFonts w:eastAsia="Calibri" w:cs="Times New Roman"/>
          <w:iCs/>
          <w:color w:val="000000" w:themeColor="text1"/>
          <w:szCs w:val="24"/>
        </w:rPr>
        <w:t xml:space="preserve">fra realisationsbeskatning </w:t>
      </w:r>
      <w:r>
        <w:rPr>
          <w:rFonts w:eastAsia="Calibri" w:cs="Times New Roman"/>
          <w:iCs/>
          <w:color w:val="000000" w:themeColor="text1"/>
          <w:szCs w:val="24"/>
        </w:rPr>
        <w:t>til lagerbeskatning vil skulle fastsættes til ejendommens handelsværdi på tidspunktet for erhvervelsen af aktierne, jf. den foreslåede § 14 C</w:t>
      </w:r>
      <w:r w:rsidR="00BD1D95" w:rsidRPr="00BD1D95">
        <w:rPr>
          <w:rFonts w:eastAsia="Calibri" w:cs="Times New Roman"/>
          <w:iCs/>
          <w:color w:val="000000" w:themeColor="text1"/>
          <w:szCs w:val="24"/>
        </w:rPr>
        <w:t xml:space="preserve"> </w:t>
      </w:r>
      <w:r w:rsidR="00BD1D95">
        <w:rPr>
          <w:rFonts w:eastAsia="Calibri" w:cs="Times New Roman"/>
          <w:iCs/>
          <w:color w:val="000000" w:themeColor="text1"/>
          <w:szCs w:val="24"/>
        </w:rPr>
        <w:t>i ejendomsavancebeskatningsloven</w:t>
      </w:r>
      <w:r>
        <w:rPr>
          <w:rFonts w:eastAsia="Calibri" w:cs="Times New Roman"/>
          <w:iCs/>
          <w:color w:val="000000" w:themeColor="text1"/>
          <w:szCs w:val="24"/>
        </w:rPr>
        <w:t xml:space="preserve">, ligesom der vil skulle etableres en realisationssaldo </w:t>
      </w:r>
      <w:r w:rsidR="00BD1D95">
        <w:rPr>
          <w:rFonts w:eastAsia="Calibri" w:cs="Times New Roman"/>
          <w:iCs/>
          <w:color w:val="000000" w:themeColor="text1"/>
          <w:szCs w:val="24"/>
        </w:rPr>
        <w:t>pr. dette tidspunkt, jf. den foreslåede § 14 D i ejendomsavancebeskatningsloven.</w:t>
      </w:r>
      <w:r>
        <w:rPr>
          <w:rFonts w:eastAsia="Calibri" w:cs="Times New Roman"/>
          <w:iCs/>
          <w:color w:val="000000" w:themeColor="text1"/>
          <w:szCs w:val="24"/>
        </w:rPr>
        <w:t xml:space="preserve"> </w:t>
      </w:r>
    </w:p>
    <w:p w14:paraId="49F70E5A" w14:textId="722027A9" w:rsidR="00BD1D95" w:rsidRDefault="00BD1D95">
      <w:pPr>
        <w:spacing w:after="240"/>
        <w:rPr>
          <w:rFonts w:eastAsia="Calibri" w:cs="Times New Roman"/>
          <w:iCs/>
          <w:color w:val="000000" w:themeColor="text1"/>
          <w:szCs w:val="24"/>
        </w:rPr>
      </w:pPr>
      <w:r>
        <w:rPr>
          <w:rFonts w:eastAsia="Calibri" w:cs="Times New Roman"/>
          <w:iCs/>
          <w:color w:val="000000" w:themeColor="text1"/>
          <w:szCs w:val="24"/>
        </w:rPr>
        <w:t xml:space="preserve">Er ejendommens værdi steget ved udgangen af indkomståret i forhold til indgangsværdien, vil denne værdistigning efter forslaget om lagerbeskatning skulle indgå i køberkoncernens sambeskatningsindkomst. </w:t>
      </w:r>
    </w:p>
    <w:p w14:paraId="28726CD9" w14:textId="3F4E0A44" w:rsidR="002C0485" w:rsidRDefault="00BD1D95">
      <w:pPr>
        <w:spacing w:after="240"/>
        <w:rPr>
          <w:rFonts w:eastAsia="Calibri" w:cs="Times New Roman"/>
          <w:iCs/>
          <w:color w:val="000000" w:themeColor="text1"/>
          <w:szCs w:val="24"/>
        </w:rPr>
      </w:pPr>
      <w:r>
        <w:rPr>
          <w:rFonts w:eastAsia="Calibri" w:cs="Times New Roman"/>
          <w:iCs/>
          <w:color w:val="000000" w:themeColor="text1"/>
          <w:szCs w:val="24"/>
        </w:rPr>
        <w:t xml:space="preserve">For sælgeren af aktierne vil det efter forslaget ikke have skattemæssige konsekvenser, at ejendommen på køberkoncernens hånd overgår til lagerbeskatning. </w:t>
      </w:r>
      <w:r w:rsidR="002C0485">
        <w:rPr>
          <w:rFonts w:eastAsia="Calibri" w:cs="Times New Roman"/>
          <w:iCs/>
          <w:color w:val="000000" w:themeColor="text1"/>
          <w:szCs w:val="24"/>
        </w:rPr>
        <w:t>Det skyldes, at selve e</w:t>
      </w:r>
      <w:r>
        <w:rPr>
          <w:rFonts w:eastAsia="Calibri" w:cs="Times New Roman"/>
          <w:iCs/>
          <w:color w:val="000000" w:themeColor="text1"/>
          <w:szCs w:val="24"/>
        </w:rPr>
        <w:t xml:space="preserve">jendommen </w:t>
      </w:r>
      <w:r w:rsidR="002C0485">
        <w:rPr>
          <w:rFonts w:eastAsia="Calibri" w:cs="Times New Roman"/>
          <w:iCs/>
          <w:color w:val="000000" w:themeColor="text1"/>
          <w:szCs w:val="24"/>
        </w:rPr>
        <w:t>ikke er</w:t>
      </w:r>
      <w:r>
        <w:rPr>
          <w:rFonts w:eastAsia="Calibri" w:cs="Times New Roman"/>
          <w:iCs/>
          <w:color w:val="000000" w:themeColor="text1"/>
          <w:szCs w:val="24"/>
        </w:rPr>
        <w:t xml:space="preserve"> realiseret</w:t>
      </w:r>
      <w:r w:rsidR="002C0485">
        <w:rPr>
          <w:rFonts w:eastAsia="Calibri" w:cs="Times New Roman"/>
          <w:iCs/>
          <w:color w:val="000000" w:themeColor="text1"/>
          <w:szCs w:val="24"/>
        </w:rPr>
        <w:t xml:space="preserve">. Derfor vil der </w:t>
      </w:r>
      <w:r>
        <w:rPr>
          <w:rFonts w:eastAsia="Calibri" w:cs="Times New Roman"/>
          <w:iCs/>
          <w:color w:val="000000" w:themeColor="text1"/>
          <w:szCs w:val="24"/>
        </w:rPr>
        <w:t>ved afståelsen af aktierne ikke blive realiseret nogen gevinst eller tab på ejendommen</w:t>
      </w:r>
      <w:r w:rsidR="002C0485">
        <w:rPr>
          <w:rFonts w:eastAsia="Calibri" w:cs="Times New Roman"/>
          <w:iCs/>
          <w:color w:val="000000" w:themeColor="text1"/>
          <w:szCs w:val="24"/>
        </w:rPr>
        <w:t>, som har påvirker sælgers forhold. Det gælder, selv om selskabet ved afståelsen forlod en tidligere sambeskatning.</w:t>
      </w:r>
      <w:r w:rsidR="00305900">
        <w:rPr>
          <w:rFonts w:eastAsia="Calibri" w:cs="Times New Roman"/>
          <w:iCs/>
          <w:color w:val="000000" w:themeColor="text1"/>
          <w:szCs w:val="24"/>
        </w:rPr>
        <w:t xml:space="preserve"> Sælger vil skulle behandle salget af aktierne i henhold til en eventuel sambeskatning hos sælger</w:t>
      </w:r>
      <w:r w:rsidR="00A474CC">
        <w:rPr>
          <w:rFonts w:eastAsia="Calibri" w:cs="Times New Roman"/>
          <w:iCs/>
          <w:color w:val="000000" w:themeColor="text1"/>
          <w:szCs w:val="24"/>
        </w:rPr>
        <w:t>,</w:t>
      </w:r>
      <w:r w:rsidR="00305900">
        <w:rPr>
          <w:rFonts w:eastAsia="Calibri" w:cs="Times New Roman"/>
          <w:iCs/>
          <w:color w:val="000000" w:themeColor="text1"/>
          <w:szCs w:val="24"/>
        </w:rPr>
        <w:t xml:space="preserve"> som om ejendommen fortsat var omfattet af realisationsbeskatningen.</w:t>
      </w:r>
    </w:p>
    <w:p w14:paraId="3B88BC89" w14:textId="6A614FCB" w:rsidR="00EC1E34" w:rsidRDefault="002C0485">
      <w:pPr>
        <w:spacing w:after="240"/>
        <w:rPr>
          <w:rFonts w:eastAsia="Calibri" w:cs="Times New Roman"/>
          <w:iCs/>
          <w:color w:val="000000" w:themeColor="text1"/>
          <w:szCs w:val="24"/>
        </w:rPr>
      </w:pPr>
      <w:r>
        <w:rPr>
          <w:rFonts w:eastAsia="Calibri" w:cs="Times New Roman"/>
          <w:iCs/>
          <w:color w:val="000000" w:themeColor="text1"/>
          <w:szCs w:val="24"/>
        </w:rPr>
        <w:t xml:space="preserve">Overgangen fra realisationsbeskatning til lagerbeskatning som følge af ejerskiftet af aktierne vil således efter forslaget alene påvirke indkomstopgørelsen for det solgte selskab selv og køberkoncernens sambeskatningsindkomst. </w:t>
      </w:r>
      <w:r w:rsidR="00BD1D95">
        <w:rPr>
          <w:rFonts w:eastAsia="Calibri" w:cs="Times New Roman"/>
          <w:iCs/>
          <w:color w:val="000000" w:themeColor="text1"/>
          <w:szCs w:val="24"/>
        </w:rPr>
        <w:t xml:space="preserve"> </w:t>
      </w:r>
    </w:p>
    <w:p w14:paraId="4FE54D87" w14:textId="0657CE23" w:rsidR="007C1C9A" w:rsidRDefault="007C1C9A" w:rsidP="007C1C9A">
      <w:pPr>
        <w:spacing w:after="240"/>
        <w:rPr>
          <w:rFonts w:eastAsia="Calibri" w:cs="Times New Roman"/>
          <w:iCs/>
          <w:color w:val="000000" w:themeColor="text1"/>
          <w:szCs w:val="24"/>
        </w:rPr>
      </w:pPr>
      <w:r w:rsidRPr="00086E28">
        <w:rPr>
          <w:rFonts w:eastAsia="Calibri" w:cs="Times New Roman"/>
          <w:iCs/>
          <w:color w:val="000000" w:themeColor="text1"/>
          <w:szCs w:val="24"/>
        </w:rPr>
        <w:t xml:space="preserve">Et </w:t>
      </w:r>
      <w:r w:rsidRPr="008B0131">
        <w:rPr>
          <w:rFonts w:eastAsia="Calibri" w:cs="Times New Roman"/>
          <w:iCs/>
          <w:color w:val="000000" w:themeColor="text1"/>
          <w:szCs w:val="24"/>
        </w:rPr>
        <w:t xml:space="preserve">kontrolskifte af aktierne i et selskab kan ske på andre måder end ved en overdragelse af aktierne med den virkning, at en </w:t>
      </w:r>
      <w:r w:rsidR="00A474CC">
        <w:rPr>
          <w:rFonts w:eastAsia="Calibri" w:cs="Times New Roman"/>
          <w:iCs/>
          <w:color w:val="000000" w:themeColor="text1"/>
          <w:szCs w:val="24"/>
        </w:rPr>
        <w:t xml:space="preserve">af </w:t>
      </w:r>
      <w:r w:rsidRPr="008B0131">
        <w:rPr>
          <w:rFonts w:eastAsia="Calibri" w:cs="Times New Roman"/>
          <w:iCs/>
          <w:color w:val="000000" w:themeColor="text1"/>
          <w:szCs w:val="24"/>
        </w:rPr>
        <w:t>selskabets ejendom</w:t>
      </w:r>
      <w:r w:rsidR="00A474CC">
        <w:rPr>
          <w:rFonts w:eastAsia="Calibri" w:cs="Times New Roman"/>
          <w:iCs/>
          <w:color w:val="000000" w:themeColor="text1"/>
          <w:szCs w:val="24"/>
        </w:rPr>
        <w:t>me</w:t>
      </w:r>
      <w:r w:rsidRPr="008B0131">
        <w:rPr>
          <w:rFonts w:eastAsia="Calibri" w:cs="Times New Roman"/>
          <w:iCs/>
          <w:color w:val="000000" w:themeColor="text1"/>
          <w:szCs w:val="24"/>
        </w:rPr>
        <w:t xml:space="preserve"> efter forslaget overgå</w:t>
      </w:r>
      <w:r>
        <w:rPr>
          <w:rFonts w:eastAsia="Calibri" w:cs="Times New Roman"/>
          <w:iCs/>
          <w:color w:val="000000" w:themeColor="text1"/>
          <w:szCs w:val="24"/>
        </w:rPr>
        <w:t>r</w:t>
      </w:r>
      <w:r w:rsidRPr="008B0131">
        <w:rPr>
          <w:rFonts w:eastAsia="Calibri" w:cs="Times New Roman"/>
          <w:iCs/>
          <w:color w:val="000000" w:themeColor="text1"/>
          <w:szCs w:val="24"/>
        </w:rPr>
        <w:t xml:space="preserve"> fra realisationsbeskatning til lagerbeskatning. Et kontrolskifte, hvorved den bestemmende indflydelse </w:t>
      </w:r>
      <w:r>
        <w:rPr>
          <w:rFonts w:eastAsia="Calibri" w:cs="Times New Roman"/>
          <w:iCs/>
          <w:color w:val="000000" w:themeColor="text1"/>
          <w:szCs w:val="24"/>
        </w:rPr>
        <w:t>i</w:t>
      </w:r>
      <w:r w:rsidRPr="008B0131">
        <w:rPr>
          <w:rFonts w:eastAsia="Calibri" w:cs="Times New Roman"/>
          <w:iCs/>
          <w:color w:val="000000" w:themeColor="text1"/>
          <w:szCs w:val="24"/>
        </w:rPr>
        <w:t xml:space="preserve"> et selskab skifter, kan</w:t>
      </w:r>
      <w:r>
        <w:rPr>
          <w:rFonts w:eastAsia="Calibri" w:cs="Times New Roman"/>
          <w:iCs/>
          <w:color w:val="000000" w:themeColor="text1"/>
          <w:szCs w:val="24"/>
        </w:rPr>
        <w:t xml:space="preserve"> således f.eks. ske via en kapitaludvidelse, en aktieombytning eller andre former for omstrukturering – skattefri såvel som skattepligtige. </w:t>
      </w:r>
    </w:p>
    <w:p w14:paraId="2ADC11A1" w14:textId="77777777" w:rsidR="007C1C9A" w:rsidRDefault="007C1C9A" w:rsidP="007C1C9A">
      <w:pPr>
        <w:spacing w:after="240"/>
        <w:rPr>
          <w:rFonts w:eastAsia="Calibri" w:cs="Times New Roman"/>
          <w:iCs/>
          <w:color w:val="000000" w:themeColor="text1"/>
          <w:szCs w:val="24"/>
        </w:rPr>
      </w:pPr>
      <w:r>
        <w:rPr>
          <w:rFonts w:eastAsia="Calibri" w:cs="Times New Roman"/>
          <w:iCs/>
          <w:color w:val="000000" w:themeColor="text1"/>
          <w:szCs w:val="24"/>
        </w:rPr>
        <w:lastRenderedPageBreak/>
        <w:t xml:space="preserve">Et selskab, der ejer en udlejningsejendom, har f.eks. hidtil været ejet 100 pct. af moderselskabet M1. Et ikke interesseforbundet selskab M2 foretager en kapitalindskud i selskabet mod vederlag i aktier, således at M2 kommer til at eje 60 pct. af aktierne i selskabet, mens M1’s aktiebesiddelse bliver udvandet til 40 pct. Ved kapitaludvidelsen er selskabet således overgået fra en sambeskatning under M1 til en ny sambeskatning under M2. </w:t>
      </w:r>
    </w:p>
    <w:p w14:paraId="323EFFB4" w14:textId="22D6B8A0" w:rsidR="007C1C9A" w:rsidRPr="00815B3E" w:rsidRDefault="007C1C9A" w:rsidP="00813769">
      <w:pPr>
        <w:spacing w:after="240"/>
        <w:rPr>
          <w:rFonts w:eastAsia="Calibri" w:cs="Times New Roman"/>
          <w:iCs/>
          <w:color w:val="000000" w:themeColor="text1"/>
          <w:szCs w:val="24"/>
        </w:rPr>
      </w:pPr>
      <w:r>
        <w:rPr>
          <w:rFonts w:eastAsia="Calibri" w:cs="Times New Roman"/>
          <w:iCs/>
          <w:color w:val="000000" w:themeColor="text1"/>
          <w:szCs w:val="24"/>
        </w:rPr>
        <w:t>Konsekvensen er, at der efter de gældende regler i selskabsskattelovens § 31, stk. 5, skal foretages en fordeling af selskabets indkomst, idet indkomsten i tiden frem til kontrolskiftet skal indgå i sambeskatningen med M1, mens indkomsten i tiden efter kontrolskiftet skal indgå i sambeskatningen med M2. Samtidig vil der efter forslaget kunne opstå den situation, at selskabets ejendom overgår til lagerbeskatning svarende til den situation, at aktierne i selskabet har skiftet ejer. Den eventuelle overgang til lagerbeskatning efter den foreslåede § 14 B, stk. 2, må anses for at ske på det tidspunkt, hvor M2 via kapitaludvidelsen opnår kontrollen over selskabet.</w:t>
      </w:r>
    </w:p>
    <w:p w14:paraId="688390DD" w14:textId="626CEEF6" w:rsidR="002C297A" w:rsidRPr="00815B3E" w:rsidRDefault="002C297A" w:rsidP="002C297A">
      <w:pPr>
        <w:rPr>
          <w:rFonts w:eastAsia="Calibri" w:cs="Times New Roman"/>
          <w:bCs/>
          <w:color w:val="000000" w:themeColor="text1"/>
          <w:szCs w:val="24"/>
        </w:rPr>
      </w:pPr>
      <w:r w:rsidRPr="00815B3E">
        <w:rPr>
          <w:rFonts w:eastAsia="Calibri" w:cs="Times New Roman"/>
          <w:iCs/>
          <w:color w:val="000000" w:themeColor="text1"/>
          <w:szCs w:val="24"/>
        </w:rPr>
        <w:t xml:space="preserve">Det foreslås i ejendomsbeskatningslovens </w:t>
      </w:r>
      <w:r w:rsidRPr="00815B3E">
        <w:rPr>
          <w:rFonts w:eastAsia="Calibri" w:cs="Times New Roman"/>
          <w:i/>
          <w:color w:val="000000" w:themeColor="text1"/>
          <w:szCs w:val="24"/>
        </w:rPr>
        <w:t>§ 14 B, stk. 3, 1. pkt.</w:t>
      </w:r>
      <w:r w:rsidR="0089721D">
        <w:rPr>
          <w:rFonts w:eastAsia="Calibri" w:cs="Times New Roman"/>
          <w:i/>
          <w:color w:val="000000" w:themeColor="text1"/>
          <w:szCs w:val="24"/>
        </w:rPr>
        <w:t>,</w:t>
      </w:r>
      <w:r w:rsidRPr="00815B3E">
        <w:rPr>
          <w:rFonts w:eastAsia="Calibri" w:cs="Times New Roman"/>
          <w:iCs/>
          <w:color w:val="000000" w:themeColor="text1"/>
          <w:szCs w:val="24"/>
        </w:rPr>
        <w:t xml:space="preserve"> at indsætte en bestemmelse om, at e</w:t>
      </w:r>
      <w:r w:rsidRPr="00815B3E">
        <w:rPr>
          <w:rFonts w:eastAsia="Calibri" w:cs="Times New Roman"/>
          <w:bCs/>
          <w:color w:val="000000" w:themeColor="text1"/>
          <w:szCs w:val="24"/>
        </w:rPr>
        <w:t xml:space="preserve">jendomme, der erhverves ved en fusion, spaltning eller tilførsel af aktiver efter fusionsskatteloven, og som udlejes i overvejende omfang, overgår til lagerbeskatning med virkning fra fusionsdatoen, jf. fusionsskattelovens § 5, hvis betingelserne i § 14 er opfyldt i det indkomstår, </w:t>
      </w:r>
      <w:r w:rsidR="002C1D2F" w:rsidRPr="00815B3E">
        <w:rPr>
          <w:rFonts w:eastAsia="Calibri" w:cs="Times New Roman"/>
          <w:bCs/>
          <w:color w:val="000000" w:themeColor="text1"/>
          <w:szCs w:val="24"/>
        </w:rPr>
        <w:t xml:space="preserve">hvor erhvervelsen finder sted. </w:t>
      </w:r>
    </w:p>
    <w:p w14:paraId="1A59559D" w14:textId="77777777" w:rsidR="002C297A" w:rsidRPr="00815B3E" w:rsidRDefault="002C297A" w:rsidP="002C297A">
      <w:pPr>
        <w:rPr>
          <w:rFonts w:eastAsia="Calibri" w:cs="Times New Roman"/>
          <w:bCs/>
          <w:color w:val="000000" w:themeColor="text1"/>
          <w:szCs w:val="24"/>
        </w:rPr>
      </w:pPr>
    </w:p>
    <w:p w14:paraId="70362E04" w14:textId="79FE9A21" w:rsidR="002C297A" w:rsidRPr="00815B3E" w:rsidRDefault="002C297A" w:rsidP="002C297A">
      <w:pPr>
        <w:rPr>
          <w:rFonts w:eastAsia="Calibri" w:cs="Times New Roman"/>
          <w:bCs/>
          <w:color w:val="000000" w:themeColor="text1"/>
          <w:szCs w:val="24"/>
        </w:rPr>
      </w:pPr>
      <w:r w:rsidRPr="00815B3E">
        <w:rPr>
          <w:rFonts w:eastAsia="Calibri" w:cs="Times New Roman"/>
          <w:bCs/>
          <w:color w:val="000000" w:themeColor="text1"/>
          <w:szCs w:val="24"/>
        </w:rPr>
        <w:t xml:space="preserve">I lovforslagets § </w:t>
      </w:r>
      <w:r w:rsidR="00A474CC">
        <w:rPr>
          <w:rFonts w:eastAsia="Calibri" w:cs="Times New Roman"/>
          <w:bCs/>
          <w:color w:val="000000" w:themeColor="text1"/>
          <w:szCs w:val="24"/>
        </w:rPr>
        <w:t>4</w:t>
      </w:r>
      <w:r w:rsidRPr="00815B3E">
        <w:rPr>
          <w:rFonts w:eastAsia="Calibri" w:cs="Times New Roman"/>
          <w:bCs/>
          <w:color w:val="000000" w:themeColor="text1"/>
          <w:szCs w:val="24"/>
        </w:rPr>
        <w:t xml:space="preserve">, nr. 1, foreslås at indsætte en bestemmelse i fusionsskattelovens § 8, stk. 4, hvorefter det erhvervende selskab </w:t>
      </w:r>
      <w:r w:rsidR="0089721D">
        <w:rPr>
          <w:rFonts w:eastAsia="Calibri" w:cs="Times New Roman"/>
          <w:bCs/>
          <w:color w:val="000000" w:themeColor="text1"/>
          <w:szCs w:val="24"/>
        </w:rPr>
        <w:t>ved</w:t>
      </w:r>
      <w:r w:rsidRPr="00815B3E">
        <w:rPr>
          <w:rFonts w:eastAsia="Calibri" w:cs="Times New Roman"/>
          <w:bCs/>
          <w:color w:val="000000" w:themeColor="text1"/>
          <w:szCs w:val="24"/>
        </w:rPr>
        <w:t xml:space="preserve"> en skattefri fusion, spaltning eller tilførsel af aktiver succederer (indtræder) i den metode for opgørelse af gevinst og tab på fast ejendom, som det indskydende selskab har anvendt ved opgørelsen af den skattepligtige indkomst. </w:t>
      </w:r>
    </w:p>
    <w:p w14:paraId="69904251" w14:textId="77777777" w:rsidR="002C297A" w:rsidRPr="00815B3E" w:rsidRDefault="002C297A" w:rsidP="002C297A">
      <w:pPr>
        <w:rPr>
          <w:rFonts w:eastAsia="Calibri" w:cs="Times New Roman"/>
          <w:bCs/>
          <w:color w:val="000000" w:themeColor="text1"/>
          <w:szCs w:val="24"/>
        </w:rPr>
      </w:pPr>
    </w:p>
    <w:p w14:paraId="5E4D08CC" w14:textId="22519E84" w:rsidR="002C297A" w:rsidRPr="00815B3E" w:rsidRDefault="002C297A" w:rsidP="002C297A">
      <w:pPr>
        <w:rPr>
          <w:rFonts w:eastAsia="Calibri" w:cs="Times New Roman"/>
          <w:bCs/>
          <w:color w:val="000000" w:themeColor="text1"/>
          <w:szCs w:val="24"/>
        </w:rPr>
      </w:pPr>
      <w:r w:rsidRPr="00815B3E">
        <w:rPr>
          <w:rFonts w:eastAsia="Calibri" w:cs="Times New Roman"/>
          <w:bCs/>
          <w:color w:val="000000" w:themeColor="text1"/>
          <w:szCs w:val="24"/>
        </w:rPr>
        <w:t>Successionen</w:t>
      </w:r>
      <w:r w:rsidR="0089721D">
        <w:rPr>
          <w:rFonts w:eastAsia="Calibri" w:cs="Times New Roman"/>
          <w:bCs/>
          <w:color w:val="000000" w:themeColor="text1"/>
          <w:szCs w:val="24"/>
        </w:rPr>
        <w:t xml:space="preserve"> vil</w:t>
      </w:r>
      <w:r w:rsidRPr="00815B3E">
        <w:rPr>
          <w:rFonts w:eastAsia="Calibri" w:cs="Times New Roman"/>
          <w:bCs/>
          <w:color w:val="000000" w:themeColor="text1"/>
          <w:szCs w:val="24"/>
        </w:rPr>
        <w:t xml:space="preserve"> efter forslaget ske uden hensyn til, om det modtagende selskab opfylder de almindelige betingelser i den foreslåede § 14 i ejendomsavancebeskatningsloven for lagerbeskatning af sine ejendomme. Successionen i opgørelsesmetoden afhænger udelukkende af den opgørelsesmetode, som det indskydende selskab anvendte eller efter reglerne skulle anvende umiddelbart inden fusionen.</w:t>
      </w:r>
    </w:p>
    <w:p w14:paraId="4C575F1D" w14:textId="77777777" w:rsidR="002C297A" w:rsidRPr="00815B3E" w:rsidRDefault="002C297A" w:rsidP="002C297A">
      <w:pPr>
        <w:rPr>
          <w:rFonts w:eastAsia="Calibri" w:cs="Times New Roman"/>
          <w:bCs/>
          <w:color w:val="000000" w:themeColor="text1"/>
          <w:szCs w:val="24"/>
        </w:rPr>
      </w:pPr>
    </w:p>
    <w:p w14:paraId="4EE8AFAE" w14:textId="77777777" w:rsidR="002C297A" w:rsidRPr="00815B3E" w:rsidRDefault="002C297A" w:rsidP="002C297A">
      <w:pPr>
        <w:rPr>
          <w:rFonts w:eastAsia="Calibri" w:cs="Times New Roman"/>
          <w:bCs/>
          <w:color w:val="000000" w:themeColor="text1"/>
          <w:szCs w:val="24"/>
        </w:rPr>
      </w:pPr>
      <w:r w:rsidRPr="00815B3E">
        <w:rPr>
          <w:rFonts w:eastAsia="Calibri" w:cs="Times New Roman"/>
          <w:bCs/>
          <w:color w:val="000000" w:themeColor="text1"/>
          <w:szCs w:val="24"/>
        </w:rPr>
        <w:t xml:space="preserve">Det foreslås således, at hvis det indskydende selskab har anvendt lagerprincippet ved opgørelse af gevinst og tab på fast ejendom, så skal lagerprincippet også anvendes af det modtagende selskab, ligesom det modtagende selskab vil overtage en eventuel realisationssaldo for ejendommen, jf. den foreslåede § 14 D i ejendomsavancebeskatningsloven. Efter forslaget vil en </w:t>
      </w:r>
      <w:r w:rsidRPr="00815B3E">
        <w:rPr>
          <w:rFonts w:eastAsia="Calibri" w:cs="Times New Roman"/>
          <w:bCs/>
          <w:color w:val="000000" w:themeColor="text1"/>
          <w:szCs w:val="24"/>
        </w:rPr>
        <w:lastRenderedPageBreak/>
        <w:t>lagerbeskattet ejendom forblive lagerbeskattet hos det modtagende selskab, så længe den skattepligtige ejer ejendommen, jf. den foreslåede bestemmelse i ejendomsavancebeskatningslovens § 14, stk. 3.</w:t>
      </w:r>
    </w:p>
    <w:p w14:paraId="4FA87F60" w14:textId="77777777" w:rsidR="002C297A" w:rsidRPr="00815B3E" w:rsidRDefault="002C297A" w:rsidP="002C297A">
      <w:pPr>
        <w:rPr>
          <w:rFonts w:eastAsia="Calibri" w:cs="Times New Roman"/>
          <w:bCs/>
          <w:color w:val="000000" w:themeColor="text1"/>
          <w:szCs w:val="24"/>
        </w:rPr>
      </w:pPr>
    </w:p>
    <w:p w14:paraId="0E2B6590" w14:textId="77777777" w:rsidR="002C297A" w:rsidRPr="00815B3E" w:rsidRDefault="002C297A" w:rsidP="002C297A">
      <w:pPr>
        <w:rPr>
          <w:rFonts w:eastAsia="Calibri" w:cs="Times New Roman"/>
          <w:bCs/>
          <w:color w:val="000000" w:themeColor="text1"/>
          <w:szCs w:val="24"/>
        </w:rPr>
      </w:pPr>
      <w:r w:rsidRPr="00815B3E">
        <w:rPr>
          <w:rFonts w:eastAsia="Calibri" w:cs="Times New Roman"/>
          <w:bCs/>
          <w:color w:val="000000" w:themeColor="text1"/>
          <w:szCs w:val="24"/>
        </w:rPr>
        <w:t xml:space="preserve">Hovedreglen om succession i fusionsskattelovens § 8, stk. 1, indebærer, at hvis realisationsprincippet har været anvendt af det indskydende selskab ved opgørelse af gevinst og tab på en ejendom, så succederer det modtagende selskab i anvendelsen af realisationsprincippet for den pågældende ejendom. </w:t>
      </w:r>
    </w:p>
    <w:p w14:paraId="31E3F711" w14:textId="77777777" w:rsidR="002C297A" w:rsidRPr="00815B3E" w:rsidRDefault="002C297A" w:rsidP="002C297A">
      <w:pPr>
        <w:rPr>
          <w:rFonts w:eastAsia="Calibri" w:cs="Times New Roman"/>
          <w:bCs/>
          <w:color w:val="000000" w:themeColor="text1"/>
          <w:szCs w:val="24"/>
        </w:rPr>
      </w:pPr>
    </w:p>
    <w:p w14:paraId="118A1208" w14:textId="77777777" w:rsidR="002C297A" w:rsidRPr="00815B3E" w:rsidRDefault="002C297A" w:rsidP="002C297A">
      <w:pPr>
        <w:rPr>
          <w:rFonts w:eastAsia="Calibri" w:cs="Times New Roman"/>
          <w:bCs/>
          <w:color w:val="000000" w:themeColor="text1"/>
          <w:szCs w:val="24"/>
        </w:rPr>
      </w:pPr>
      <w:r w:rsidRPr="00815B3E">
        <w:rPr>
          <w:rFonts w:eastAsia="Calibri" w:cs="Times New Roman"/>
          <w:bCs/>
          <w:color w:val="000000" w:themeColor="text1"/>
          <w:szCs w:val="24"/>
        </w:rPr>
        <w:t xml:space="preserve">Det vil imidlertid efter forslaget afhænge af de nærmere forhold hos det modtagende selskab, om ejendommen skal overgå til lagerbeskatning efter erhvervelsen. Forslaget til § 14 B, stk. 3, i ejendomsavancebeskatningsloven indebærer, at hvis det modtagende selskab i det indkomstår, fusionen gennemføres, opfylder betingelserne for lagerbeskatning af ejendomme, jf. forslaget til § 14 i ejendomsavancebeskatningsloven, så vil en hidtil realisationsbeskattet ejendom, der er erhvervet ved en skattefri fusion, spaltning eller tilførsel af aktiver, og som udlejes i overvejende omfang, overgå til lagerbeskatning. </w:t>
      </w:r>
    </w:p>
    <w:p w14:paraId="78E281FD" w14:textId="77777777" w:rsidR="002C297A" w:rsidRPr="00815B3E" w:rsidRDefault="002C297A" w:rsidP="002C297A">
      <w:pPr>
        <w:rPr>
          <w:rFonts w:eastAsia="Calibri" w:cs="Times New Roman"/>
          <w:bCs/>
          <w:color w:val="000000" w:themeColor="text1"/>
          <w:szCs w:val="24"/>
        </w:rPr>
      </w:pPr>
    </w:p>
    <w:p w14:paraId="24A1B2E2" w14:textId="77777777" w:rsidR="002C297A" w:rsidRPr="00815B3E" w:rsidRDefault="002C297A" w:rsidP="002C297A">
      <w:pPr>
        <w:rPr>
          <w:rFonts w:eastAsia="Calibri" w:cs="Times New Roman"/>
          <w:bCs/>
          <w:color w:val="000000" w:themeColor="text1"/>
          <w:szCs w:val="24"/>
        </w:rPr>
      </w:pPr>
      <w:r w:rsidRPr="00815B3E">
        <w:rPr>
          <w:rFonts w:eastAsia="Calibri" w:cs="Times New Roman"/>
          <w:bCs/>
          <w:color w:val="000000" w:themeColor="text1"/>
          <w:szCs w:val="24"/>
        </w:rPr>
        <w:t xml:space="preserve">Overgangen fra realisationsbeskatning til lagerbeskatning vil efter forslaget skulle ske med virkning fra fusionsdatoen, hvis det modtagende selskab i det indkomstår, hvor fusionsdatoen falder, omfattes af lagerbeskatningen. Overgangen vil ske til den handelsværdi (indgangsværdi), som ejendommen har pr. fusionsdatoen. </w:t>
      </w:r>
    </w:p>
    <w:p w14:paraId="6A585833" w14:textId="77777777" w:rsidR="002C297A" w:rsidRPr="00815B3E" w:rsidRDefault="002C297A" w:rsidP="002C297A">
      <w:pPr>
        <w:rPr>
          <w:rFonts w:eastAsia="Calibri" w:cs="Times New Roman"/>
          <w:bCs/>
          <w:color w:val="000000" w:themeColor="text1"/>
          <w:szCs w:val="24"/>
        </w:rPr>
      </w:pPr>
    </w:p>
    <w:p w14:paraId="5A3C7D09" w14:textId="77777777" w:rsidR="002C297A" w:rsidRPr="00815B3E" w:rsidRDefault="002C297A" w:rsidP="002C297A">
      <w:pPr>
        <w:rPr>
          <w:rFonts w:eastAsia="Calibri" w:cs="Times New Roman"/>
          <w:bCs/>
          <w:color w:val="000000" w:themeColor="text1"/>
          <w:szCs w:val="24"/>
        </w:rPr>
      </w:pPr>
      <w:r w:rsidRPr="00815B3E">
        <w:rPr>
          <w:rFonts w:eastAsia="Calibri" w:cs="Times New Roman"/>
          <w:bCs/>
          <w:color w:val="000000" w:themeColor="text1"/>
          <w:szCs w:val="24"/>
        </w:rPr>
        <w:t xml:space="preserve">Eksempel: Selskaberne A og B fusioneres efter fusionsskattelovens regler med A som det indskydende (ophørende) og B som det modtagende (fortsættende) selskab. Selskaberne anvender begge kalenderåret som regnskabsperiode. Fusionen gennemføres med 1. januar 2024 som fusionsdato.  </w:t>
      </w:r>
    </w:p>
    <w:p w14:paraId="5D959A4F" w14:textId="498C4E13" w:rsidR="002C297A" w:rsidRDefault="002C297A" w:rsidP="002C297A">
      <w:pPr>
        <w:rPr>
          <w:rFonts w:eastAsia="Calibri" w:cs="Times New Roman"/>
          <w:bCs/>
          <w:color w:val="000000" w:themeColor="text1"/>
          <w:szCs w:val="24"/>
        </w:rPr>
      </w:pPr>
      <w:r w:rsidRPr="00815B3E">
        <w:rPr>
          <w:rFonts w:eastAsia="Calibri" w:cs="Times New Roman"/>
          <w:bCs/>
          <w:color w:val="000000" w:themeColor="text1"/>
          <w:szCs w:val="24"/>
        </w:rPr>
        <w:t>A ejer en ejendom med en anskaffelsessum på 10 mio. kr. og en værdi pr. fusionsdatoen på 13 mio. kr. A omfattes af realisationsprincippet ved opgørelse af gevinst og tab på ejendommen. Der ville blive udløst genvundne afskrivninger på 1 mio. kr. og en ejendomsavance på 3 mio. kr., hvis A solgte ejendommen til handelsværdien pr. fusionstidspunktet. Ejendommen udlejes i overvejende omfang.</w:t>
      </w:r>
    </w:p>
    <w:p w14:paraId="269BFD47" w14:textId="77777777" w:rsidR="00305900" w:rsidRPr="00815B3E" w:rsidRDefault="00305900" w:rsidP="002C297A">
      <w:pPr>
        <w:rPr>
          <w:rFonts w:eastAsia="Calibri" w:cs="Times New Roman"/>
          <w:bCs/>
          <w:color w:val="000000" w:themeColor="text1"/>
          <w:szCs w:val="24"/>
        </w:rPr>
      </w:pPr>
    </w:p>
    <w:p w14:paraId="4F4DB2F2" w14:textId="77777777" w:rsidR="002C297A" w:rsidRPr="00815B3E" w:rsidRDefault="002C297A" w:rsidP="002C297A">
      <w:pPr>
        <w:rPr>
          <w:rFonts w:eastAsia="Calibri" w:cs="Times New Roman"/>
          <w:bCs/>
          <w:color w:val="000000" w:themeColor="text1"/>
          <w:szCs w:val="24"/>
        </w:rPr>
      </w:pPr>
      <w:r w:rsidRPr="00815B3E">
        <w:rPr>
          <w:rFonts w:eastAsia="Calibri" w:cs="Times New Roman"/>
          <w:bCs/>
          <w:color w:val="000000" w:themeColor="text1"/>
          <w:szCs w:val="24"/>
        </w:rPr>
        <w:t>Ved fusionen indtræder B i ejendommens anskaffelsessum (10 mio. kr.) og indtræder samtidig i den latente skattebyrde (</w:t>
      </w:r>
      <w:proofErr w:type="spellStart"/>
      <w:r w:rsidRPr="00815B3E">
        <w:rPr>
          <w:rFonts w:eastAsia="Calibri" w:cs="Times New Roman"/>
          <w:bCs/>
          <w:color w:val="000000" w:themeColor="text1"/>
          <w:szCs w:val="24"/>
        </w:rPr>
        <w:t>urealiseret</w:t>
      </w:r>
      <w:proofErr w:type="spellEnd"/>
      <w:r w:rsidRPr="00815B3E">
        <w:rPr>
          <w:rFonts w:eastAsia="Calibri" w:cs="Times New Roman"/>
          <w:bCs/>
          <w:color w:val="000000" w:themeColor="text1"/>
          <w:szCs w:val="24"/>
        </w:rPr>
        <w:t xml:space="preserve"> avance på 4 mio. </w:t>
      </w:r>
      <w:r w:rsidRPr="00815B3E">
        <w:rPr>
          <w:rFonts w:eastAsia="Calibri" w:cs="Times New Roman"/>
          <w:bCs/>
          <w:color w:val="000000" w:themeColor="text1"/>
          <w:szCs w:val="24"/>
        </w:rPr>
        <w:lastRenderedPageBreak/>
        <w:t xml:space="preserve">kr.), som ville blive udløst ved ejendommens eventuelle salg. Samtidig indtræder B i opgørelsesmetoden, hvorefter gevinst og tab på ejendommen opgøres efter realisationsprincippet. </w:t>
      </w:r>
    </w:p>
    <w:p w14:paraId="72D6DD7B" w14:textId="77777777" w:rsidR="002C297A" w:rsidRPr="00815B3E" w:rsidRDefault="002C297A" w:rsidP="002C297A">
      <w:pPr>
        <w:rPr>
          <w:rFonts w:eastAsia="Calibri" w:cs="Times New Roman"/>
          <w:bCs/>
          <w:color w:val="000000" w:themeColor="text1"/>
          <w:szCs w:val="24"/>
        </w:rPr>
      </w:pPr>
    </w:p>
    <w:p w14:paraId="37FBA348" w14:textId="303AE6AD" w:rsidR="002C297A" w:rsidRDefault="002C297A" w:rsidP="002C297A">
      <w:pPr>
        <w:rPr>
          <w:rFonts w:eastAsia="Calibri" w:cs="Times New Roman"/>
          <w:bCs/>
          <w:color w:val="000000" w:themeColor="text1"/>
          <w:szCs w:val="24"/>
        </w:rPr>
      </w:pPr>
      <w:r w:rsidRPr="00815B3E">
        <w:rPr>
          <w:rFonts w:eastAsia="Calibri" w:cs="Times New Roman"/>
          <w:bCs/>
          <w:color w:val="000000" w:themeColor="text1"/>
          <w:szCs w:val="24"/>
        </w:rPr>
        <w:t>B ejer udlejningsejendomme for mere end 100 mio. kr., der omfattes af lagerbeskatningen. Den erhvervede ejendom overgår dermed</w:t>
      </w:r>
      <w:r w:rsidR="00D20EEF">
        <w:rPr>
          <w:rFonts w:eastAsia="Calibri" w:cs="Times New Roman"/>
          <w:bCs/>
          <w:color w:val="000000" w:themeColor="text1"/>
          <w:szCs w:val="24"/>
        </w:rPr>
        <w:t xml:space="preserve"> efter den foreslåede bestemmelse i ejendomsavancebeskatningslovens § 14 B, stk. 3, </w:t>
      </w:r>
      <w:r w:rsidRPr="00815B3E">
        <w:rPr>
          <w:rFonts w:eastAsia="Calibri" w:cs="Times New Roman"/>
          <w:bCs/>
          <w:color w:val="000000" w:themeColor="text1"/>
          <w:szCs w:val="24"/>
        </w:rPr>
        <w:t xml:space="preserve">fra realisationsbeskatning til lagerbeskatning med virkning fra fusionsdatoen den 1. januar 2024. Lagerbeskatningen indtræder således med virkning fra 1. januar 2024. B etablerer en positiv realisationssaldo på 4 mio. kr. efter ejendomsavancebeskatningslovens § 14 D. Indgangsværdien for lagerbeskatningen udgør 13 mio. kr. </w:t>
      </w:r>
    </w:p>
    <w:p w14:paraId="31EC055C" w14:textId="77777777" w:rsidR="00182E1D" w:rsidRDefault="00182E1D" w:rsidP="002C297A">
      <w:pPr>
        <w:rPr>
          <w:rFonts w:eastAsia="Calibri" w:cs="Times New Roman"/>
          <w:bCs/>
          <w:color w:val="000000" w:themeColor="text1"/>
          <w:szCs w:val="24"/>
        </w:rPr>
      </w:pPr>
    </w:p>
    <w:p w14:paraId="064CE8CD" w14:textId="185FCE84" w:rsidR="00A0534D" w:rsidRDefault="00305900" w:rsidP="002C297A">
      <w:pPr>
        <w:rPr>
          <w:rFonts w:eastAsia="Calibri" w:cs="Times New Roman"/>
          <w:bCs/>
          <w:color w:val="000000" w:themeColor="text1"/>
          <w:szCs w:val="24"/>
        </w:rPr>
      </w:pPr>
      <w:r>
        <w:rPr>
          <w:rFonts w:eastAsia="Calibri" w:cs="Times New Roman"/>
          <w:bCs/>
          <w:color w:val="000000" w:themeColor="text1"/>
          <w:szCs w:val="24"/>
        </w:rPr>
        <w:t xml:space="preserve">I den beskrevne situation succederer B som modtagende selskab </w:t>
      </w:r>
      <w:r w:rsidR="00A0534D">
        <w:rPr>
          <w:rFonts w:eastAsia="Calibri" w:cs="Times New Roman"/>
          <w:bCs/>
          <w:color w:val="000000" w:themeColor="text1"/>
          <w:szCs w:val="24"/>
        </w:rPr>
        <w:t>principielt</w:t>
      </w:r>
      <w:r>
        <w:rPr>
          <w:rFonts w:eastAsia="Calibri" w:cs="Times New Roman"/>
          <w:bCs/>
          <w:color w:val="000000" w:themeColor="text1"/>
          <w:szCs w:val="24"/>
        </w:rPr>
        <w:t xml:space="preserve"> i </w:t>
      </w:r>
      <w:r w:rsidR="00A0534D">
        <w:rPr>
          <w:rFonts w:eastAsia="Calibri" w:cs="Times New Roman"/>
          <w:bCs/>
          <w:color w:val="000000" w:themeColor="text1"/>
          <w:szCs w:val="24"/>
        </w:rPr>
        <w:t xml:space="preserve">det indskydende selskab A’s skattemæssige status i relation til realisationsbeskatning. Denne succession indebærer, at B overtager A’s latente skatteforpligtelser </w:t>
      </w:r>
      <w:proofErr w:type="gramStart"/>
      <w:r w:rsidR="00A0534D">
        <w:rPr>
          <w:rFonts w:eastAsia="Calibri" w:cs="Times New Roman"/>
          <w:bCs/>
          <w:color w:val="000000" w:themeColor="text1"/>
          <w:szCs w:val="24"/>
        </w:rPr>
        <w:t>for så vidt</w:t>
      </w:r>
      <w:proofErr w:type="gramEnd"/>
      <w:r w:rsidR="00A0534D">
        <w:rPr>
          <w:rFonts w:eastAsia="Calibri" w:cs="Times New Roman"/>
          <w:bCs/>
          <w:color w:val="000000" w:themeColor="text1"/>
          <w:szCs w:val="24"/>
        </w:rPr>
        <w:t xml:space="preserve"> angår ejendommen, således at A’s afståelse af ejendommen ved fusionen ikke udløser afståelsesbeskatning for A.</w:t>
      </w:r>
    </w:p>
    <w:p w14:paraId="3B35FD76" w14:textId="77777777" w:rsidR="00A0534D" w:rsidRDefault="00A0534D" w:rsidP="002C297A">
      <w:pPr>
        <w:rPr>
          <w:rFonts w:eastAsia="Calibri" w:cs="Times New Roman"/>
          <w:bCs/>
          <w:color w:val="000000" w:themeColor="text1"/>
          <w:szCs w:val="24"/>
        </w:rPr>
      </w:pPr>
    </w:p>
    <w:p w14:paraId="2C7866C9" w14:textId="4C0CB397" w:rsidR="00305900" w:rsidRPr="00815B3E" w:rsidRDefault="00A0534D" w:rsidP="002C297A">
      <w:pPr>
        <w:rPr>
          <w:rFonts w:eastAsia="Calibri" w:cs="Times New Roman"/>
          <w:bCs/>
          <w:color w:val="000000" w:themeColor="text1"/>
          <w:szCs w:val="24"/>
        </w:rPr>
      </w:pPr>
      <w:r>
        <w:rPr>
          <w:rFonts w:eastAsia="Calibri" w:cs="Times New Roman"/>
          <w:bCs/>
          <w:color w:val="000000" w:themeColor="text1"/>
          <w:szCs w:val="24"/>
        </w:rPr>
        <w:t xml:space="preserve">Som følge af, at B omfattes af lagerbeskatningen, og den erhvervede ejendom udlejes i overvejende omfang, vil den erhvervede ejendom på det erhvervende selskabs hånd straks ved fusionen overgå til lagerbeskatning. </w:t>
      </w:r>
    </w:p>
    <w:p w14:paraId="4BB3D4B3" w14:textId="77777777" w:rsidR="002C297A" w:rsidRPr="00815B3E" w:rsidRDefault="002C297A" w:rsidP="002C297A">
      <w:pPr>
        <w:rPr>
          <w:rFonts w:eastAsia="Calibri" w:cs="Times New Roman"/>
          <w:bCs/>
          <w:color w:val="000000" w:themeColor="text1"/>
          <w:szCs w:val="24"/>
        </w:rPr>
      </w:pPr>
    </w:p>
    <w:p w14:paraId="4CF3C52C" w14:textId="5B348CD0" w:rsidR="002C297A" w:rsidRPr="00815B3E" w:rsidRDefault="002C297A" w:rsidP="002C297A">
      <w:pPr>
        <w:rPr>
          <w:rFonts w:eastAsia="Calibri" w:cs="Times New Roman"/>
          <w:bCs/>
          <w:color w:val="000000" w:themeColor="text1"/>
          <w:szCs w:val="24"/>
        </w:rPr>
      </w:pPr>
      <w:r w:rsidRPr="00815B3E">
        <w:rPr>
          <w:rFonts w:eastAsia="Calibri" w:cs="Times New Roman"/>
          <w:bCs/>
          <w:color w:val="000000" w:themeColor="text1"/>
          <w:szCs w:val="24"/>
        </w:rPr>
        <w:t>Det foreslås i</w:t>
      </w:r>
      <w:r w:rsidRPr="00815B3E">
        <w:rPr>
          <w:rFonts w:eastAsia="Calibri" w:cs="Times New Roman"/>
          <w:iCs/>
          <w:color w:val="000000" w:themeColor="text1"/>
          <w:szCs w:val="24"/>
        </w:rPr>
        <w:t xml:space="preserve"> ejendomsbeskatningslovens § 14 B, stk. 3, </w:t>
      </w:r>
      <w:r w:rsidRPr="00815B3E">
        <w:rPr>
          <w:rFonts w:eastAsia="Calibri" w:cs="Times New Roman"/>
          <w:i/>
          <w:color w:val="000000" w:themeColor="text1"/>
          <w:szCs w:val="24"/>
        </w:rPr>
        <w:t>2. pkt.</w:t>
      </w:r>
      <w:r w:rsidRPr="00815B3E">
        <w:rPr>
          <w:rFonts w:eastAsia="Calibri" w:cs="Times New Roman"/>
          <w:iCs/>
          <w:color w:val="000000" w:themeColor="text1"/>
          <w:szCs w:val="24"/>
        </w:rPr>
        <w:t xml:space="preserve">, at hvis </w:t>
      </w:r>
      <w:r w:rsidRPr="00815B3E">
        <w:rPr>
          <w:rFonts w:eastAsia="Calibri" w:cs="Times New Roman"/>
          <w:bCs/>
          <w:color w:val="000000" w:themeColor="text1"/>
          <w:szCs w:val="24"/>
        </w:rPr>
        <w:t xml:space="preserve">selskaberne, der deltager i en fusion, spaltning eller tilførsel af aktier efter fusionsskatteloven, ikke har samme skattemæssige fusionsdato, </w:t>
      </w:r>
      <w:r w:rsidR="00A474CC">
        <w:rPr>
          <w:rFonts w:eastAsia="Calibri" w:cs="Times New Roman"/>
          <w:bCs/>
          <w:color w:val="000000" w:themeColor="text1"/>
          <w:szCs w:val="24"/>
        </w:rPr>
        <w:t xml:space="preserve">skal </w:t>
      </w:r>
      <w:r w:rsidRPr="00815B3E">
        <w:rPr>
          <w:rFonts w:eastAsia="Calibri" w:cs="Times New Roman"/>
          <w:bCs/>
          <w:color w:val="000000" w:themeColor="text1"/>
          <w:szCs w:val="24"/>
        </w:rPr>
        <w:t xml:space="preserve">overgangen til lagerbeskatning </w:t>
      </w:r>
      <w:r w:rsidR="00A474CC">
        <w:rPr>
          <w:rFonts w:eastAsia="Calibri" w:cs="Times New Roman"/>
          <w:bCs/>
          <w:color w:val="000000" w:themeColor="text1"/>
          <w:szCs w:val="24"/>
        </w:rPr>
        <w:t xml:space="preserve">have </w:t>
      </w:r>
      <w:r w:rsidRPr="00815B3E">
        <w:rPr>
          <w:rFonts w:eastAsia="Calibri" w:cs="Times New Roman"/>
          <w:bCs/>
          <w:color w:val="000000" w:themeColor="text1"/>
          <w:szCs w:val="24"/>
        </w:rPr>
        <w:t>virkning fra fusionsdatoen for det selskab, hvorfra ejendommen indskydes.</w:t>
      </w:r>
    </w:p>
    <w:p w14:paraId="3EE00346" w14:textId="77777777" w:rsidR="002C297A" w:rsidRPr="00815B3E" w:rsidRDefault="002C297A" w:rsidP="002C297A">
      <w:pPr>
        <w:rPr>
          <w:rFonts w:eastAsia="Calibri" w:cs="Times New Roman"/>
          <w:bCs/>
          <w:color w:val="000000" w:themeColor="text1"/>
          <w:szCs w:val="24"/>
        </w:rPr>
      </w:pPr>
    </w:p>
    <w:p w14:paraId="32EA698D" w14:textId="5EB04194" w:rsidR="002C297A" w:rsidRPr="00815B3E" w:rsidRDefault="002C297A" w:rsidP="002C297A">
      <w:pPr>
        <w:spacing w:after="240"/>
        <w:jc w:val="left"/>
        <w:rPr>
          <w:rFonts w:eastAsia="Calibri" w:cs="Times New Roman"/>
          <w:bCs/>
          <w:iCs/>
          <w:color w:val="000000" w:themeColor="text1"/>
          <w:szCs w:val="24"/>
        </w:rPr>
      </w:pPr>
      <w:r w:rsidRPr="00815B3E">
        <w:rPr>
          <w:rFonts w:eastAsia="Calibri" w:cs="Times New Roman"/>
          <w:bCs/>
          <w:iCs/>
          <w:color w:val="000000" w:themeColor="text1"/>
          <w:szCs w:val="24"/>
        </w:rPr>
        <w:t>Den skattemæssige fusionsdato er som udgangspunkt den dato, der er anvendt som skæringsdato (begyndelsesdatoen) for den åbningsstatus for det modtagende selskab, der udarbejdes i forbindelse med fusionen, jf. fusionsskattelovens § 5, stk. 1. Det indebærer f.eks., at når det modtagende selskab anvender kalenderåret som regnskabsår, så er fusionsdatoen den 1. januar. Denne fusionsdato gælder som udgangspunkt for alle selskaber, der deltager i fusionen. Det samme udgangspunkt gælder, hvis der er tale om en spaltning eller tilførs</w:t>
      </w:r>
      <w:r w:rsidR="00D20EEF">
        <w:rPr>
          <w:rFonts w:eastAsia="Calibri" w:cs="Times New Roman"/>
          <w:bCs/>
          <w:iCs/>
          <w:color w:val="000000" w:themeColor="text1"/>
          <w:szCs w:val="24"/>
        </w:rPr>
        <w:t>el</w:t>
      </w:r>
      <w:r w:rsidRPr="00815B3E">
        <w:rPr>
          <w:rFonts w:eastAsia="Calibri" w:cs="Times New Roman"/>
          <w:bCs/>
          <w:iCs/>
          <w:color w:val="000000" w:themeColor="text1"/>
          <w:szCs w:val="24"/>
        </w:rPr>
        <w:t xml:space="preserve"> af aktiver efter fusionsskatteloven.</w:t>
      </w:r>
    </w:p>
    <w:p w14:paraId="65E006E2" w14:textId="77777777" w:rsidR="002C297A" w:rsidRPr="00815B3E" w:rsidRDefault="002C297A" w:rsidP="002C297A">
      <w:pPr>
        <w:spacing w:after="240"/>
        <w:jc w:val="left"/>
        <w:rPr>
          <w:rFonts w:eastAsia="Calibri" w:cs="Times New Roman"/>
          <w:bCs/>
          <w:iCs/>
          <w:color w:val="000000" w:themeColor="text1"/>
          <w:szCs w:val="24"/>
        </w:rPr>
      </w:pPr>
      <w:r w:rsidRPr="00815B3E">
        <w:rPr>
          <w:rFonts w:eastAsia="Calibri" w:cs="Times New Roman"/>
          <w:bCs/>
          <w:iCs/>
          <w:color w:val="000000" w:themeColor="text1"/>
          <w:szCs w:val="24"/>
        </w:rPr>
        <w:t xml:space="preserve">Imidlertid indeholder fusionsskattelovens § 5, stk. 3, den undtagelse, at når indkomsten i et selskab, som deltager i fusionen, opgøres efter reglerne i selskabsskattelovens § 31, stk. 5, som følge af, at koncernforbindelsen er </w:t>
      </w:r>
      <w:r w:rsidRPr="00815B3E">
        <w:rPr>
          <w:rFonts w:eastAsia="Calibri" w:cs="Times New Roman"/>
          <w:bCs/>
          <w:iCs/>
          <w:color w:val="000000" w:themeColor="text1"/>
          <w:szCs w:val="24"/>
        </w:rPr>
        <w:lastRenderedPageBreak/>
        <w:t>ophørt eller etableret inden eller i forbindelse med fusionen, så anvendes tidspunktet for ophøret henholdsvis etableringen af koncernforbindelsen som fusionsdato for selskabet.</w:t>
      </w:r>
    </w:p>
    <w:p w14:paraId="5E7502F0" w14:textId="74C9D238" w:rsidR="002C297A" w:rsidRPr="00815B3E" w:rsidRDefault="002C297A" w:rsidP="002C297A">
      <w:pPr>
        <w:spacing w:after="240"/>
        <w:jc w:val="left"/>
        <w:rPr>
          <w:rFonts w:eastAsia="Calibri" w:cs="Times New Roman"/>
          <w:bCs/>
          <w:iCs/>
          <w:color w:val="000000" w:themeColor="text1"/>
          <w:szCs w:val="24"/>
        </w:rPr>
      </w:pPr>
      <w:r w:rsidRPr="00815B3E">
        <w:rPr>
          <w:rFonts w:eastAsia="Calibri" w:cs="Times New Roman"/>
          <w:bCs/>
          <w:iCs/>
          <w:color w:val="000000" w:themeColor="text1"/>
          <w:szCs w:val="24"/>
        </w:rPr>
        <w:t>Baggrunden for denne undtagelse er, at når et selskab udgår af en hidtidig sambeskatning eller indgår i en ny sambeskatning, f.eks. ved at koncernen afstår aktierne i selskabet, så skal der for selskabet foretages en opgørelse af indkomst for perioden fra indkomstårets start og frem til ophøret (afståelsen af aktierne), jf. selskabsskattelovens § 31, stk. 5. Denne indkomst henføres til den hidtidige sambeskatningskreds. Der skal endvidere foretages en opgørelse af selskabets indkomst for perioden fra ophøret af sambeskatningen og indtil udløbet af selskabets indkomstår. Denne indkomst indgår som særindkomst for selskabet</w:t>
      </w:r>
      <w:r w:rsidR="00D20EEF">
        <w:rPr>
          <w:rFonts w:eastAsia="Calibri" w:cs="Times New Roman"/>
          <w:bCs/>
          <w:iCs/>
          <w:color w:val="000000" w:themeColor="text1"/>
          <w:szCs w:val="24"/>
        </w:rPr>
        <w:t>.</w:t>
      </w:r>
      <w:r w:rsidRPr="00815B3E">
        <w:rPr>
          <w:rFonts w:eastAsia="Calibri" w:cs="Times New Roman"/>
          <w:bCs/>
          <w:iCs/>
          <w:color w:val="000000" w:themeColor="text1"/>
          <w:szCs w:val="24"/>
        </w:rPr>
        <w:t xml:space="preserve"> </w:t>
      </w:r>
      <w:r w:rsidR="00D20EEF">
        <w:rPr>
          <w:rFonts w:eastAsia="Calibri" w:cs="Times New Roman"/>
          <w:bCs/>
          <w:iCs/>
          <w:color w:val="000000" w:themeColor="text1"/>
          <w:szCs w:val="24"/>
        </w:rPr>
        <w:t>H</w:t>
      </w:r>
      <w:r w:rsidRPr="00815B3E">
        <w:rPr>
          <w:rFonts w:eastAsia="Calibri" w:cs="Times New Roman"/>
          <w:bCs/>
          <w:iCs/>
          <w:color w:val="000000" w:themeColor="text1"/>
          <w:szCs w:val="24"/>
        </w:rPr>
        <w:t xml:space="preserve">vis selskabet ved ophøret af den hidtidige sambeskatning samtidig indgår i en ny </w:t>
      </w:r>
      <w:proofErr w:type="gramStart"/>
      <w:r w:rsidRPr="00815B3E">
        <w:rPr>
          <w:rFonts w:eastAsia="Calibri" w:cs="Times New Roman"/>
          <w:bCs/>
          <w:iCs/>
          <w:color w:val="000000" w:themeColor="text1"/>
          <w:szCs w:val="24"/>
        </w:rPr>
        <w:t>sambeskatning</w:t>
      </w:r>
      <w:proofErr w:type="gramEnd"/>
      <w:r w:rsidRPr="00815B3E">
        <w:rPr>
          <w:rFonts w:eastAsia="Calibri" w:cs="Times New Roman"/>
          <w:bCs/>
          <w:iCs/>
          <w:color w:val="000000" w:themeColor="text1"/>
          <w:szCs w:val="24"/>
        </w:rPr>
        <w:t xml:space="preserve"> skal denne indkomst </w:t>
      </w:r>
      <w:r w:rsidR="00D20EEF">
        <w:rPr>
          <w:rFonts w:eastAsia="Calibri" w:cs="Times New Roman"/>
          <w:bCs/>
          <w:iCs/>
          <w:color w:val="000000" w:themeColor="text1"/>
          <w:szCs w:val="24"/>
        </w:rPr>
        <w:t xml:space="preserve">i stedet </w:t>
      </w:r>
      <w:r w:rsidRPr="00815B3E">
        <w:rPr>
          <w:rFonts w:eastAsia="Calibri" w:cs="Times New Roman"/>
          <w:bCs/>
          <w:iCs/>
          <w:color w:val="000000" w:themeColor="text1"/>
          <w:szCs w:val="24"/>
        </w:rPr>
        <w:t xml:space="preserve">indgå i denne nye sambeskatningskreds. </w:t>
      </w:r>
    </w:p>
    <w:p w14:paraId="49FE8E2C" w14:textId="77777777" w:rsidR="002C297A" w:rsidRPr="00815B3E" w:rsidRDefault="002C297A" w:rsidP="002C297A">
      <w:pPr>
        <w:spacing w:after="240"/>
        <w:jc w:val="left"/>
        <w:rPr>
          <w:rFonts w:eastAsia="Calibri" w:cs="Times New Roman"/>
          <w:bCs/>
          <w:iCs/>
          <w:color w:val="000000" w:themeColor="text1"/>
          <w:szCs w:val="24"/>
        </w:rPr>
      </w:pPr>
      <w:r w:rsidRPr="00815B3E">
        <w:rPr>
          <w:rFonts w:eastAsia="Calibri" w:cs="Times New Roman"/>
          <w:bCs/>
          <w:iCs/>
          <w:color w:val="000000" w:themeColor="text1"/>
          <w:szCs w:val="24"/>
        </w:rPr>
        <w:t>Reglerne om periodeopgørelse i selskabsskattelovens § 31, stk. 5, som ligeledes har forrang ved en skattefri fusion, jf. fusionsskattelovens § 5, stk. 3, har til formål at sikre, at indkomsten for et selskab kun indgår i sambeskatningsindkomsten for den periode, i hvilken selskabet tilhører den pågældende sambeskatningskreds, mens selskabets indkomst for en periode, hvor selskabet ikke er sambeskattet med den pågældende koncern, ikke skal indgå i koncernens sambeskatningsindkomst.</w:t>
      </w:r>
    </w:p>
    <w:p w14:paraId="45A117C8" w14:textId="77777777" w:rsidR="002C297A" w:rsidRPr="00815B3E" w:rsidRDefault="002C297A" w:rsidP="002C297A">
      <w:pPr>
        <w:spacing w:after="240"/>
        <w:jc w:val="left"/>
        <w:rPr>
          <w:rFonts w:eastAsia="Calibri" w:cs="Times New Roman"/>
          <w:bCs/>
          <w:iCs/>
          <w:color w:val="000000" w:themeColor="text1"/>
          <w:szCs w:val="24"/>
        </w:rPr>
      </w:pPr>
      <w:r w:rsidRPr="00815B3E">
        <w:rPr>
          <w:rFonts w:eastAsia="Calibri" w:cs="Times New Roman"/>
          <w:bCs/>
          <w:iCs/>
          <w:color w:val="000000" w:themeColor="text1"/>
          <w:szCs w:val="24"/>
        </w:rPr>
        <w:t xml:space="preserve">Fusionsdatoen for et selskab, der deltager i en fusion, kan således ikke ligge længere tilbage i tid end det tidspunkt, hvor koncernforbindelsen for det pågældende selskab måtte være ophørt eller etableret, jf. fusionsskattelovens § 5, stk. 3. </w:t>
      </w:r>
    </w:p>
    <w:p w14:paraId="501A3FC7" w14:textId="77777777" w:rsidR="002C297A" w:rsidRPr="00815B3E" w:rsidRDefault="002C297A" w:rsidP="002C297A">
      <w:pPr>
        <w:spacing w:after="240"/>
        <w:jc w:val="left"/>
        <w:rPr>
          <w:rFonts w:eastAsia="Calibri" w:cs="Times New Roman"/>
          <w:bCs/>
          <w:iCs/>
          <w:color w:val="000000" w:themeColor="text1"/>
          <w:szCs w:val="24"/>
        </w:rPr>
      </w:pPr>
      <w:r w:rsidRPr="00815B3E">
        <w:rPr>
          <w:rFonts w:eastAsia="Calibri" w:cs="Times New Roman"/>
          <w:bCs/>
          <w:iCs/>
          <w:color w:val="000000" w:themeColor="text1"/>
          <w:szCs w:val="24"/>
        </w:rPr>
        <w:t>Hvis en fusion f.eks. gennemføres ved en beslutning den 1. oktober med virkning pr. 1. januar mellem to selskaber med kalenderårsregnskab, og et indskydende selskab ved fusionen er udtrådt af en sambeskatning, så vil fusionsdatoen for det indskydende selskab være den 1. oktober, jf. fusionsskattelovens § 5, stk. 3, mens fusionsdatoen for det modtagende selskab vil være den 1. januar efter hovedreglen i fusionsskattelovens § 5, stk. 1. Det indebærer, at det indskydende selskabs indkomst for perioden 1. januar til 30. september skal medregnes til den hidtidige sambeskatning, mens indkomsten for perioden 1. oktober til 31. december skal indgå i det fortsættende selskabs indkomst. For det fortsættende selskab vil fusionsdatoen være 1. januar, og hele selskabets indkomst for perioden 1. januar til 31. december vil således skulle indgå.</w:t>
      </w:r>
    </w:p>
    <w:p w14:paraId="1A0D9341" w14:textId="6CAD4475" w:rsidR="002C297A" w:rsidRPr="00815B3E" w:rsidRDefault="002C297A" w:rsidP="002C297A">
      <w:pPr>
        <w:spacing w:after="240"/>
        <w:jc w:val="left"/>
        <w:rPr>
          <w:rFonts w:eastAsia="Calibri" w:cs="Times New Roman"/>
          <w:iCs/>
          <w:color w:val="000000" w:themeColor="text1"/>
          <w:szCs w:val="24"/>
        </w:rPr>
      </w:pPr>
      <w:r w:rsidRPr="00815B3E">
        <w:rPr>
          <w:rFonts w:eastAsia="Calibri" w:cs="Times New Roman"/>
          <w:bCs/>
          <w:iCs/>
          <w:color w:val="000000" w:themeColor="text1"/>
          <w:szCs w:val="24"/>
        </w:rPr>
        <w:lastRenderedPageBreak/>
        <w:t>Det foreslås</w:t>
      </w:r>
      <w:r w:rsidR="00D20EEF">
        <w:rPr>
          <w:rFonts w:eastAsia="Calibri" w:cs="Times New Roman"/>
          <w:bCs/>
          <w:iCs/>
          <w:color w:val="000000" w:themeColor="text1"/>
          <w:szCs w:val="24"/>
        </w:rPr>
        <w:t xml:space="preserve"> på den baggrund</w:t>
      </w:r>
      <w:r w:rsidRPr="00815B3E">
        <w:rPr>
          <w:rFonts w:eastAsia="Calibri" w:cs="Times New Roman"/>
          <w:bCs/>
          <w:iCs/>
          <w:color w:val="000000" w:themeColor="text1"/>
          <w:szCs w:val="24"/>
        </w:rPr>
        <w:t xml:space="preserve"> i </w:t>
      </w:r>
      <w:r w:rsidRPr="00815B3E">
        <w:rPr>
          <w:rFonts w:eastAsia="Calibri" w:cs="Times New Roman"/>
          <w:iCs/>
          <w:color w:val="000000" w:themeColor="text1"/>
          <w:szCs w:val="24"/>
        </w:rPr>
        <w:t xml:space="preserve">ejendomsbeskatningslovens § 14 B, stk. 3, 2. pkt., at hvis selskaberne i en fusion ikke har samme skattemæssige fusionsdato, så har overgangen til lagerbeskatning virkning fra fusionsdatoen for det selskab, hvorfra ejendommen indskydes. </w:t>
      </w:r>
    </w:p>
    <w:p w14:paraId="15D6F5EA" w14:textId="39617C9F" w:rsidR="002C297A" w:rsidRPr="00815B3E" w:rsidRDefault="002C297A" w:rsidP="002C297A">
      <w:pPr>
        <w:spacing w:after="240"/>
        <w:jc w:val="left"/>
        <w:rPr>
          <w:rFonts w:eastAsia="Calibri" w:cs="Times New Roman"/>
          <w:iCs/>
          <w:color w:val="000000" w:themeColor="text1"/>
          <w:szCs w:val="24"/>
        </w:rPr>
      </w:pPr>
      <w:r w:rsidRPr="00815B3E">
        <w:rPr>
          <w:rFonts w:eastAsia="Calibri" w:cs="Times New Roman"/>
          <w:iCs/>
          <w:color w:val="000000" w:themeColor="text1"/>
          <w:szCs w:val="24"/>
        </w:rPr>
        <w:t>Hvis der i ovenstående eksempel indskydes en ejendom fra det selskab, der har fusionsdato den 1. oktober</w:t>
      </w:r>
      <w:r w:rsidR="00D20EEF">
        <w:rPr>
          <w:rFonts w:eastAsia="Calibri" w:cs="Times New Roman"/>
          <w:iCs/>
          <w:color w:val="000000" w:themeColor="text1"/>
          <w:szCs w:val="24"/>
        </w:rPr>
        <w:t>,</w:t>
      </w:r>
      <w:r w:rsidRPr="00815B3E">
        <w:rPr>
          <w:rFonts w:eastAsia="Calibri" w:cs="Times New Roman"/>
          <w:iCs/>
          <w:color w:val="000000" w:themeColor="text1"/>
          <w:szCs w:val="24"/>
        </w:rPr>
        <w:t xml:space="preserve"> som følge af ændret koncernforbindelse, og betingelserne for lagerbeskatning i øvrigt er opfyldt, </w:t>
      </w:r>
      <w:r w:rsidR="00D20EEF">
        <w:rPr>
          <w:rFonts w:eastAsia="Calibri" w:cs="Times New Roman"/>
          <w:iCs/>
          <w:color w:val="000000" w:themeColor="text1"/>
          <w:szCs w:val="24"/>
        </w:rPr>
        <w:t>da</w:t>
      </w:r>
      <w:r w:rsidRPr="00815B3E">
        <w:rPr>
          <w:rFonts w:eastAsia="Calibri" w:cs="Times New Roman"/>
          <w:iCs/>
          <w:color w:val="000000" w:themeColor="text1"/>
          <w:szCs w:val="24"/>
        </w:rPr>
        <w:t xml:space="preserve"> vil overgangen til lagerbeskatning</w:t>
      </w:r>
      <w:r w:rsidR="00F07481">
        <w:rPr>
          <w:rFonts w:eastAsia="Calibri" w:cs="Times New Roman"/>
          <w:iCs/>
          <w:color w:val="000000" w:themeColor="text1"/>
          <w:szCs w:val="24"/>
        </w:rPr>
        <w:t xml:space="preserve"> skulle</w:t>
      </w:r>
      <w:r w:rsidRPr="00815B3E">
        <w:rPr>
          <w:rFonts w:eastAsia="Calibri" w:cs="Times New Roman"/>
          <w:iCs/>
          <w:color w:val="000000" w:themeColor="text1"/>
          <w:szCs w:val="24"/>
        </w:rPr>
        <w:t xml:space="preserve"> ske pr. 1. oktober og dermed til den værdi, som ejendommen har på dette tidspunkt. Hvis der deltager et yderligere indskydende selskab i fusionen, som skal anvende fusionsdatoen 1. januar som følge af, at selskabet ikke har ændret koncernforbindelse ved eller forud for fusionen, </w:t>
      </w:r>
      <w:r w:rsidR="00D20EEF">
        <w:rPr>
          <w:rFonts w:eastAsia="Calibri" w:cs="Times New Roman"/>
          <w:iCs/>
          <w:color w:val="000000" w:themeColor="text1"/>
          <w:szCs w:val="24"/>
        </w:rPr>
        <w:t>da</w:t>
      </w:r>
      <w:r w:rsidRPr="00815B3E">
        <w:rPr>
          <w:rFonts w:eastAsia="Calibri" w:cs="Times New Roman"/>
          <w:iCs/>
          <w:color w:val="000000" w:themeColor="text1"/>
          <w:szCs w:val="24"/>
        </w:rPr>
        <w:t xml:space="preserve"> skal en ejendom, der tilføres fra dette selskab, efter forslaget overgå til lagerbeskatning med virkning pr. 1. januar og til værdien </w:t>
      </w:r>
      <w:r w:rsidR="00D20EEF">
        <w:rPr>
          <w:rFonts w:eastAsia="Calibri" w:cs="Times New Roman"/>
          <w:iCs/>
          <w:color w:val="000000" w:themeColor="text1"/>
          <w:szCs w:val="24"/>
        </w:rPr>
        <w:t xml:space="preserve">den </w:t>
      </w:r>
      <w:r w:rsidRPr="00815B3E">
        <w:rPr>
          <w:rFonts w:eastAsia="Calibri" w:cs="Times New Roman"/>
          <w:iCs/>
          <w:color w:val="000000" w:themeColor="text1"/>
          <w:szCs w:val="24"/>
        </w:rPr>
        <w:t>1. januar.</w:t>
      </w:r>
    </w:p>
    <w:p w14:paraId="658AA596" w14:textId="70ECE446" w:rsidR="00A0534D" w:rsidRDefault="002C297A" w:rsidP="002C297A">
      <w:pPr>
        <w:spacing w:after="240"/>
        <w:jc w:val="left"/>
        <w:rPr>
          <w:rFonts w:eastAsia="Calibri" w:cs="Times New Roman"/>
          <w:iCs/>
          <w:color w:val="000000" w:themeColor="text1"/>
          <w:szCs w:val="24"/>
        </w:rPr>
      </w:pPr>
      <w:r w:rsidRPr="00815B3E">
        <w:rPr>
          <w:rFonts w:eastAsia="Calibri" w:cs="Times New Roman"/>
          <w:iCs/>
          <w:color w:val="000000" w:themeColor="text1"/>
          <w:szCs w:val="24"/>
        </w:rPr>
        <w:t>Det</w:t>
      </w:r>
      <w:r w:rsidR="00D20EEF">
        <w:rPr>
          <w:rFonts w:eastAsia="Calibri" w:cs="Times New Roman"/>
          <w:iCs/>
          <w:color w:val="000000" w:themeColor="text1"/>
          <w:szCs w:val="24"/>
        </w:rPr>
        <w:t xml:space="preserve"> beskrevne vedrø</w:t>
      </w:r>
      <w:r w:rsidR="00A0534D">
        <w:rPr>
          <w:rFonts w:eastAsia="Calibri" w:cs="Times New Roman"/>
          <w:iCs/>
          <w:color w:val="000000" w:themeColor="text1"/>
          <w:szCs w:val="24"/>
        </w:rPr>
        <w:t>r</w:t>
      </w:r>
      <w:r w:rsidR="00D20EEF">
        <w:rPr>
          <w:rFonts w:eastAsia="Calibri" w:cs="Times New Roman"/>
          <w:iCs/>
          <w:color w:val="000000" w:themeColor="text1"/>
          <w:szCs w:val="24"/>
        </w:rPr>
        <w:t>ende</w:t>
      </w:r>
      <w:r w:rsidRPr="00815B3E">
        <w:rPr>
          <w:rFonts w:eastAsia="Calibri" w:cs="Times New Roman"/>
          <w:iCs/>
          <w:color w:val="000000" w:themeColor="text1"/>
          <w:szCs w:val="24"/>
        </w:rPr>
        <w:t xml:space="preserve"> skattefri fusion, </w:t>
      </w:r>
      <w:r w:rsidR="00665421">
        <w:rPr>
          <w:rFonts w:eastAsia="Calibri" w:cs="Times New Roman"/>
          <w:iCs/>
          <w:color w:val="000000" w:themeColor="text1"/>
          <w:szCs w:val="24"/>
        </w:rPr>
        <w:t xml:space="preserve">vil efter forslaget </w:t>
      </w:r>
      <w:r w:rsidRPr="00815B3E">
        <w:rPr>
          <w:rFonts w:eastAsia="Calibri" w:cs="Times New Roman"/>
          <w:iCs/>
          <w:color w:val="000000" w:themeColor="text1"/>
          <w:szCs w:val="24"/>
        </w:rPr>
        <w:t>gælde tilsvarende i forbindelse med skattefri spaltning og skattefri tilførsel af aktiver</w:t>
      </w:r>
      <w:r w:rsidR="00A0534D">
        <w:rPr>
          <w:rFonts w:eastAsia="Calibri" w:cs="Times New Roman"/>
          <w:iCs/>
          <w:color w:val="000000" w:themeColor="text1"/>
          <w:szCs w:val="24"/>
        </w:rPr>
        <w:t xml:space="preserve"> efter reglerne i fusionsskatteloven</w:t>
      </w:r>
      <w:r w:rsidRPr="00815B3E">
        <w:rPr>
          <w:rFonts w:eastAsia="Calibri" w:cs="Times New Roman"/>
          <w:iCs/>
          <w:color w:val="000000" w:themeColor="text1"/>
          <w:szCs w:val="24"/>
        </w:rPr>
        <w:t>.</w:t>
      </w:r>
    </w:p>
    <w:p w14:paraId="72A4C88E" w14:textId="34653621" w:rsidR="002C297A" w:rsidRPr="00815B3E" w:rsidRDefault="00A0534D" w:rsidP="002C297A">
      <w:pPr>
        <w:spacing w:after="240"/>
        <w:jc w:val="left"/>
        <w:rPr>
          <w:rFonts w:eastAsia="Calibri" w:cs="Times New Roman"/>
          <w:iCs/>
          <w:color w:val="000000" w:themeColor="text1"/>
          <w:szCs w:val="24"/>
        </w:rPr>
      </w:pPr>
      <w:r>
        <w:rPr>
          <w:rFonts w:eastAsia="Calibri" w:cs="Times New Roman"/>
          <w:iCs/>
          <w:color w:val="000000" w:themeColor="text1"/>
          <w:szCs w:val="24"/>
        </w:rPr>
        <w:t xml:space="preserve">Hvis en ejendom overdrages ved en fusion, spaltning eller tilførsel af aktier uden anvendelse af reglerne i fusionsskatteloven, vil der foreligge en overdragelse af ejendommen, som skal behandles efter de almindelige regler i skattelovgivningen </w:t>
      </w:r>
      <w:r w:rsidR="001549A1">
        <w:rPr>
          <w:rFonts w:eastAsia="Calibri" w:cs="Times New Roman"/>
          <w:iCs/>
          <w:color w:val="000000" w:themeColor="text1"/>
          <w:szCs w:val="24"/>
        </w:rPr>
        <w:t xml:space="preserve">om overdragelse af fast ejendom, dvs. som et </w:t>
      </w:r>
      <w:r>
        <w:rPr>
          <w:rFonts w:eastAsia="Calibri" w:cs="Times New Roman"/>
          <w:iCs/>
          <w:color w:val="000000" w:themeColor="text1"/>
          <w:szCs w:val="24"/>
        </w:rPr>
        <w:t>salg</w:t>
      </w:r>
      <w:r w:rsidR="001549A1">
        <w:rPr>
          <w:rFonts w:eastAsia="Calibri" w:cs="Times New Roman"/>
          <w:iCs/>
          <w:color w:val="000000" w:themeColor="text1"/>
          <w:szCs w:val="24"/>
        </w:rPr>
        <w:t xml:space="preserve"> for det indskydende selskab og som et køb for det modtagende selskab.</w:t>
      </w:r>
      <w:r>
        <w:rPr>
          <w:rFonts w:eastAsia="Calibri" w:cs="Times New Roman"/>
          <w:iCs/>
          <w:color w:val="000000" w:themeColor="text1"/>
          <w:szCs w:val="24"/>
        </w:rPr>
        <w:t xml:space="preserve"> </w:t>
      </w:r>
    </w:p>
    <w:p w14:paraId="7ADFB193" w14:textId="68B1D16B" w:rsidR="00D82F5F" w:rsidRPr="00815B3E" w:rsidRDefault="00D82F5F" w:rsidP="00332548">
      <w:pPr>
        <w:spacing w:after="240"/>
        <w:rPr>
          <w:rFonts w:eastAsia="Calibri" w:cs="Times New Roman"/>
          <w:bCs/>
          <w:color w:val="000000" w:themeColor="text1"/>
          <w:szCs w:val="24"/>
          <w:u w:val="single"/>
        </w:rPr>
      </w:pPr>
      <w:r w:rsidRPr="00815B3E">
        <w:rPr>
          <w:rFonts w:eastAsia="Calibri" w:cs="Times New Roman"/>
          <w:bCs/>
          <w:color w:val="000000" w:themeColor="text1"/>
          <w:szCs w:val="24"/>
          <w:u w:val="single"/>
        </w:rPr>
        <w:t>Til § 14 C</w:t>
      </w:r>
    </w:p>
    <w:p w14:paraId="7ADE9194" w14:textId="104A2680" w:rsidR="004B67CA" w:rsidRPr="00815B3E" w:rsidRDefault="00AC3CB5" w:rsidP="00332548">
      <w:pPr>
        <w:spacing w:after="240"/>
        <w:rPr>
          <w:rFonts w:eastAsia="Calibri" w:cs="Times New Roman"/>
          <w:bCs/>
          <w:color w:val="000000" w:themeColor="text1"/>
          <w:szCs w:val="24"/>
        </w:rPr>
      </w:pPr>
      <w:r w:rsidRPr="00815B3E">
        <w:rPr>
          <w:rFonts w:eastAsia="Calibri" w:cs="Times New Roman"/>
          <w:bCs/>
          <w:color w:val="000000" w:themeColor="text1"/>
          <w:szCs w:val="24"/>
        </w:rPr>
        <w:t>Det foreslås</w:t>
      </w:r>
      <w:r w:rsidR="00665421">
        <w:rPr>
          <w:rFonts w:eastAsia="Calibri" w:cs="Times New Roman"/>
          <w:bCs/>
          <w:color w:val="000000" w:themeColor="text1"/>
          <w:szCs w:val="24"/>
        </w:rPr>
        <w:t xml:space="preserve"> i</w:t>
      </w:r>
      <w:r w:rsidR="00844217" w:rsidRPr="00815B3E">
        <w:rPr>
          <w:rFonts w:eastAsia="Calibri" w:cs="Times New Roman"/>
          <w:bCs/>
          <w:color w:val="000000" w:themeColor="text1"/>
          <w:szCs w:val="24"/>
        </w:rPr>
        <w:t xml:space="preserve"> </w:t>
      </w:r>
      <w:r w:rsidR="009C3102" w:rsidRPr="00815B3E">
        <w:rPr>
          <w:rFonts w:eastAsia="Calibri" w:cs="Times New Roman"/>
          <w:bCs/>
          <w:color w:val="000000" w:themeColor="text1"/>
          <w:szCs w:val="24"/>
        </w:rPr>
        <w:t>ejendomsavancebeskatningsloven</w:t>
      </w:r>
      <w:r w:rsidRPr="00815B3E">
        <w:rPr>
          <w:rFonts w:eastAsia="Calibri" w:cs="Times New Roman"/>
          <w:bCs/>
          <w:color w:val="000000" w:themeColor="text1"/>
          <w:szCs w:val="24"/>
        </w:rPr>
        <w:t xml:space="preserve"> </w:t>
      </w:r>
      <w:r w:rsidR="00332548" w:rsidRPr="00815B3E">
        <w:rPr>
          <w:rFonts w:eastAsia="Calibri" w:cs="Times New Roman"/>
          <w:bCs/>
          <w:i/>
          <w:iCs/>
          <w:color w:val="000000" w:themeColor="text1"/>
          <w:szCs w:val="24"/>
        </w:rPr>
        <w:t>§ 14 C</w:t>
      </w:r>
      <w:r w:rsidRPr="00815B3E">
        <w:rPr>
          <w:rFonts w:eastAsia="Calibri" w:cs="Times New Roman"/>
          <w:bCs/>
          <w:i/>
          <w:iCs/>
          <w:color w:val="000000" w:themeColor="text1"/>
          <w:szCs w:val="24"/>
        </w:rPr>
        <w:t>, stk. 1</w:t>
      </w:r>
      <w:r w:rsidRPr="00815B3E">
        <w:rPr>
          <w:rFonts w:eastAsia="Calibri" w:cs="Times New Roman"/>
          <w:bCs/>
          <w:color w:val="000000" w:themeColor="text1"/>
          <w:szCs w:val="24"/>
        </w:rPr>
        <w:t>, at v</w:t>
      </w:r>
      <w:r w:rsidR="00332548" w:rsidRPr="00815B3E">
        <w:rPr>
          <w:rFonts w:eastAsia="Calibri" w:cs="Times New Roman"/>
          <w:bCs/>
          <w:color w:val="000000" w:themeColor="text1"/>
          <w:szCs w:val="24"/>
        </w:rPr>
        <w:t>ed overgang fra realisationsbeskatning til lagerbeskatning, jf.</w:t>
      </w:r>
      <w:r w:rsidR="0011061B" w:rsidRPr="00815B3E">
        <w:rPr>
          <w:rFonts w:eastAsia="Calibri" w:cs="Times New Roman"/>
          <w:bCs/>
          <w:color w:val="000000" w:themeColor="text1"/>
          <w:szCs w:val="24"/>
        </w:rPr>
        <w:t xml:space="preserve"> den foreslåede</w:t>
      </w:r>
      <w:r w:rsidR="00332548" w:rsidRPr="00815B3E">
        <w:rPr>
          <w:rFonts w:eastAsia="Calibri" w:cs="Times New Roman"/>
          <w:bCs/>
          <w:color w:val="000000" w:themeColor="text1"/>
          <w:szCs w:val="24"/>
        </w:rPr>
        <w:t xml:space="preserve"> § 14 B</w:t>
      </w:r>
      <w:r w:rsidR="0011061B" w:rsidRPr="00815B3E">
        <w:rPr>
          <w:rFonts w:eastAsia="Calibri" w:cs="Times New Roman"/>
          <w:bCs/>
          <w:color w:val="000000" w:themeColor="text1"/>
          <w:szCs w:val="24"/>
        </w:rPr>
        <w:t xml:space="preserve"> i </w:t>
      </w:r>
      <w:r w:rsidR="009C3102" w:rsidRPr="00815B3E">
        <w:rPr>
          <w:rFonts w:eastAsia="Calibri" w:cs="Times New Roman"/>
          <w:bCs/>
          <w:color w:val="000000" w:themeColor="text1"/>
          <w:szCs w:val="24"/>
        </w:rPr>
        <w:t>ejendomsavancebeskatningsloven</w:t>
      </w:r>
      <w:r w:rsidR="00332548" w:rsidRPr="00815B3E">
        <w:rPr>
          <w:rFonts w:eastAsia="Calibri" w:cs="Times New Roman"/>
          <w:bCs/>
          <w:color w:val="000000" w:themeColor="text1"/>
          <w:szCs w:val="24"/>
        </w:rPr>
        <w:t xml:space="preserve">, </w:t>
      </w:r>
      <w:proofErr w:type="gramStart"/>
      <w:r w:rsidR="00F07481">
        <w:rPr>
          <w:rFonts w:eastAsia="Calibri" w:cs="Times New Roman"/>
          <w:bCs/>
          <w:color w:val="000000" w:themeColor="text1"/>
          <w:szCs w:val="24"/>
        </w:rPr>
        <w:t xml:space="preserve">skal </w:t>
      </w:r>
      <w:r w:rsidR="00332548" w:rsidRPr="00815B3E">
        <w:rPr>
          <w:rFonts w:eastAsia="Calibri" w:cs="Times New Roman"/>
          <w:bCs/>
          <w:color w:val="000000" w:themeColor="text1"/>
          <w:szCs w:val="24"/>
        </w:rPr>
        <w:t xml:space="preserve"> ejendommen</w:t>
      </w:r>
      <w:proofErr w:type="gramEnd"/>
      <w:r w:rsidR="00332548" w:rsidRPr="00815B3E">
        <w:rPr>
          <w:rFonts w:eastAsia="Calibri" w:cs="Times New Roman"/>
          <w:bCs/>
          <w:color w:val="000000" w:themeColor="text1"/>
          <w:szCs w:val="24"/>
        </w:rPr>
        <w:t xml:space="preserve"> </w:t>
      </w:r>
      <w:r w:rsidR="00F07481">
        <w:rPr>
          <w:rFonts w:eastAsia="Calibri" w:cs="Times New Roman"/>
          <w:bCs/>
          <w:color w:val="000000" w:themeColor="text1"/>
          <w:szCs w:val="24"/>
        </w:rPr>
        <w:t xml:space="preserve">anses </w:t>
      </w:r>
      <w:r w:rsidR="00332548" w:rsidRPr="00815B3E">
        <w:rPr>
          <w:rFonts w:eastAsia="Calibri" w:cs="Times New Roman"/>
          <w:bCs/>
          <w:color w:val="000000" w:themeColor="text1"/>
          <w:szCs w:val="24"/>
        </w:rPr>
        <w:t>for afstået til handelsværdien</w:t>
      </w:r>
      <w:r w:rsidR="00390E5A" w:rsidRPr="00390E5A">
        <w:rPr>
          <w:rFonts w:eastAsia="Calibri" w:cs="Times New Roman"/>
          <w:bCs/>
          <w:color w:val="000000" w:themeColor="text1"/>
          <w:szCs w:val="24"/>
        </w:rPr>
        <w:t xml:space="preserve"> </w:t>
      </w:r>
      <w:r w:rsidR="00390E5A" w:rsidRPr="00815B3E">
        <w:rPr>
          <w:rFonts w:eastAsia="Calibri" w:cs="Times New Roman"/>
          <w:bCs/>
          <w:color w:val="000000" w:themeColor="text1"/>
          <w:szCs w:val="24"/>
        </w:rPr>
        <w:t>på overgangstidspunktet</w:t>
      </w:r>
      <w:r w:rsidR="00390E5A">
        <w:rPr>
          <w:rFonts w:eastAsia="Calibri" w:cs="Times New Roman"/>
          <w:bCs/>
          <w:color w:val="000000" w:themeColor="text1"/>
          <w:szCs w:val="24"/>
        </w:rPr>
        <w:t>, og at denne handelsværdi</w:t>
      </w:r>
      <w:r w:rsidR="00390E5A" w:rsidRPr="00390E5A">
        <w:rPr>
          <w:rFonts w:eastAsia="Calibri" w:cs="Times New Roman"/>
          <w:bCs/>
          <w:color w:val="000000" w:themeColor="text1"/>
          <w:szCs w:val="24"/>
        </w:rPr>
        <w:t xml:space="preserve"> </w:t>
      </w:r>
      <w:r w:rsidR="00F07481">
        <w:rPr>
          <w:rFonts w:eastAsia="Calibri" w:cs="Times New Roman"/>
          <w:bCs/>
          <w:color w:val="000000" w:themeColor="text1"/>
          <w:szCs w:val="24"/>
        </w:rPr>
        <w:t xml:space="preserve">skal </w:t>
      </w:r>
      <w:r w:rsidR="00390E5A" w:rsidRPr="00390E5A">
        <w:rPr>
          <w:rFonts w:eastAsia="Calibri" w:cs="Times New Roman"/>
          <w:bCs/>
          <w:color w:val="000000" w:themeColor="text1"/>
          <w:szCs w:val="24"/>
        </w:rPr>
        <w:t>udgør</w:t>
      </w:r>
      <w:r w:rsidR="00F07481">
        <w:rPr>
          <w:rFonts w:eastAsia="Calibri" w:cs="Times New Roman"/>
          <w:bCs/>
          <w:color w:val="000000" w:themeColor="text1"/>
          <w:szCs w:val="24"/>
        </w:rPr>
        <w:t>e</w:t>
      </w:r>
      <w:r w:rsidR="00390E5A" w:rsidRPr="00390E5A">
        <w:rPr>
          <w:rFonts w:eastAsia="Calibri" w:cs="Times New Roman"/>
          <w:bCs/>
          <w:color w:val="000000" w:themeColor="text1"/>
          <w:szCs w:val="24"/>
        </w:rPr>
        <w:t xml:space="preserve"> indgangsværdien ved overgangen til lagerbeskatning</w:t>
      </w:r>
      <w:r w:rsidR="00390E5A">
        <w:rPr>
          <w:rFonts w:eastAsia="Calibri" w:cs="Times New Roman"/>
          <w:bCs/>
          <w:color w:val="000000" w:themeColor="text1"/>
          <w:szCs w:val="24"/>
        </w:rPr>
        <w:t>.</w:t>
      </w:r>
      <w:r w:rsidR="00332548" w:rsidRPr="00815B3E">
        <w:rPr>
          <w:rFonts w:eastAsia="Calibri" w:cs="Times New Roman"/>
          <w:bCs/>
          <w:color w:val="000000" w:themeColor="text1"/>
          <w:szCs w:val="24"/>
        </w:rPr>
        <w:t xml:space="preserve"> </w:t>
      </w:r>
    </w:p>
    <w:p w14:paraId="40890A7F" w14:textId="3A99FA2E" w:rsidR="000C57B1" w:rsidRPr="00815B3E" w:rsidRDefault="00AC3CB5" w:rsidP="00332548">
      <w:pPr>
        <w:spacing w:after="240"/>
        <w:rPr>
          <w:rFonts w:eastAsia="Calibri" w:cs="Times New Roman"/>
          <w:bCs/>
          <w:color w:val="000000" w:themeColor="text1"/>
          <w:szCs w:val="24"/>
        </w:rPr>
      </w:pPr>
      <w:r w:rsidRPr="00815B3E">
        <w:rPr>
          <w:rFonts w:eastAsia="Calibri" w:cs="Times New Roman"/>
          <w:bCs/>
          <w:color w:val="000000" w:themeColor="text1"/>
          <w:szCs w:val="24"/>
        </w:rPr>
        <w:t>Det foreslås, at der i</w:t>
      </w:r>
      <w:r w:rsidR="0011061B" w:rsidRPr="00815B3E">
        <w:rPr>
          <w:rFonts w:eastAsia="Calibri" w:cs="Times New Roman"/>
          <w:bCs/>
          <w:color w:val="000000" w:themeColor="text1"/>
          <w:szCs w:val="24"/>
        </w:rPr>
        <w:t xml:space="preserve"> </w:t>
      </w:r>
      <w:r w:rsidR="009C3102" w:rsidRPr="00815B3E">
        <w:rPr>
          <w:rFonts w:eastAsia="Calibri" w:cs="Times New Roman"/>
          <w:bCs/>
          <w:color w:val="000000" w:themeColor="text1"/>
          <w:szCs w:val="24"/>
        </w:rPr>
        <w:t>ejendomsavancebeskatningsloven</w:t>
      </w:r>
      <w:r w:rsidRPr="00815B3E">
        <w:rPr>
          <w:rFonts w:eastAsia="Calibri" w:cs="Times New Roman"/>
          <w:bCs/>
          <w:color w:val="000000" w:themeColor="text1"/>
          <w:szCs w:val="24"/>
        </w:rPr>
        <w:t xml:space="preserve"> </w:t>
      </w:r>
      <w:r w:rsidRPr="00815B3E">
        <w:rPr>
          <w:rFonts w:eastAsia="Calibri" w:cs="Times New Roman"/>
          <w:bCs/>
          <w:i/>
          <w:iCs/>
          <w:color w:val="000000" w:themeColor="text1"/>
          <w:szCs w:val="24"/>
        </w:rPr>
        <w:t>§ 14 C, s</w:t>
      </w:r>
      <w:r w:rsidR="00332548" w:rsidRPr="00815B3E">
        <w:rPr>
          <w:rFonts w:eastAsia="Calibri" w:cs="Times New Roman"/>
          <w:bCs/>
          <w:i/>
          <w:iCs/>
          <w:color w:val="000000" w:themeColor="text1"/>
          <w:szCs w:val="24"/>
        </w:rPr>
        <w:t>tk. 2</w:t>
      </w:r>
      <w:r w:rsidRPr="00815B3E">
        <w:rPr>
          <w:rFonts w:eastAsia="Calibri" w:cs="Times New Roman"/>
          <w:bCs/>
          <w:i/>
          <w:iCs/>
          <w:color w:val="000000" w:themeColor="text1"/>
          <w:szCs w:val="24"/>
        </w:rPr>
        <w:t>,</w:t>
      </w:r>
      <w:r w:rsidR="00332548" w:rsidRPr="00815B3E">
        <w:rPr>
          <w:rFonts w:eastAsia="Calibri" w:cs="Times New Roman"/>
          <w:bCs/>
          <w:color w:val="000000" w:themeColor="text1"/>
          <w:szCs w:val="24"/>
        </w:rPr>
        <w:t xml:space="preserve"> </w:t>
      </w:r>
      <w:r w:rsidR="0011061B" w:rsidRPr="00815B3E">
        <w:rPr>
          <w:rFonts w:eastAsia="Calibri" w:cs="Times New Roman"/>
          <w:bCs/>
          <w:color w:val="000000" w:themeColor="text1"/>
          <w:szCs w:val="24"/>
        </w:rPr>
        <w:t>indsættes en bestemmelse om</w:t>
      </w:r>
      <w:r w:rsidRPr="00815B3E">
        <w:rPr>
          <w:rFonts w:eastAsia="Calibri" w:cs="Times New Roman"/>
          <w:bCs/>
          <w:color w:val="000000" w:themeColor="text1"/>
          <w:szCs w:val="24"/>
        </w:rPr>
        <w:t>, at d</w:t>
      </w:r>
      <w:r w:rsidR="00332548" w:rsidRPr="00815B3E">
        <w:rPr>
          <w:rFonts w:eastAsia="Calibri" w:cs="Times New Roman"/>
          <w:bCs/>
          <w:color w:val="000000" w:themeColor="text1"/>
          <w:szCs w:val="24"/>
        </w:rPr>
        <w:t>en opgjorte</w:t>
      </w:r>
      <w:r w:rsidR="00390E5A">
        <w:rPr>
          <w:rFonts w:eastAsia="Calibri" w:cs="Times New Roman"/>
          <w:bCs/>
          <w:color w:val="000000" w:themeColor="text1"/>
          <w:szCs w:val="24"/>
        </w:rPr>
        <w:t xml:space="preserve"> indgangsværdi </w:t>
      </w:r>
      <w:r w:rsidR="00F07481">
        <w:rPr>
          <w:rFonts w:eastAsia="Calibri" w:cs="Times New Roman"/>
          <w:bCs/>
          <w:color w:val="000000" w:themeColor="text1"/>
          <w:szCs w:val="24"/>
        </w:rPr>
        <w:t xml:space="preserve">skal </w:t>
      </w:r>
      <w:r w:rsidR="00390E5A">
        <w:rPr>
          <w:rFonts w:eastAsia="Calibri" w:cs="Times New Roman"/>
          <w:bCs/>
          <w:color w:val="000000" w:themeColor="text1"/>
          <w:szCs w:val="24"/>
        </w:rPr>
        <w:t>anvendes</w:t>
      </w:r>
      <w:r w:rsidR="00332548" w:rsidRPr="00815B3E">
        <w:rPr>
          <w:rFonts w:eastAsia="Calibri" w:cs="Times New Roman"/>
          <w:bCs/>
          <w:color w:val="000000" w:themeColor="text1"/>
          <w:szCs w:val="24"/>
        </w:rPr>
        <w:t xml:space="preserve"> som anskaffelsessum i</w:t>
      </w:r>
      <w:r w:rsidRPr="00815B3E">
        <w:rPr>
          <w:rFonts w:eastAsia="Calibri" w:cs="Times New Roman"/>
          <w:bCs/>
          <w:color w:val="000000" w:themeColor="text1"/>
          <w:szCs w:val="24"/>
        </w:rPr>
        <w:t xml:space="preserve"> </w:t>
      </w:r>
      <w:r w:rsidR="00332548" w:rsidRPr="00815B3E">
        <w:rPr>
          <w:rFonts w:eastAsia="Calibri" w:cs="Times New Roman"/>
          <w:bCs/>
          <w:color w:val="000000" w:themeColor="text1"/>
          <w:szCs w:val="24"/>
        </w:rPr>
        <w:t xml:space="preserve">forhold til lagerbeskatningen, jf. </w:t>
      </w:r>
      <w:r w:rsidR="0011061B" w:rsidRPr="00815B3E">
        <w:rPr>
          <w:rFonts w:eastAsia="Calibri" w:cs="Times New Roman"/>
          <w:bCs/>
          <w:color w:val="000000" w:themeColor="text1"/>
          <w:szCs w:val="24"/>
        </w:rPr>
        <w:t xml:space="preserve">den foreslåede </w:t>
      </w:r>
      <w:r w:rsidR="00332548" w:rsidRPr="00815B3E">
        <w:rPr>
          <w:rFonts w:eastAsia="Calibri" w:cs="Times New Roman"/>
          <w:bCs/>
          <w:color w:val="000000" w:themeColor="text1"/>
          <w:szCs w:val="24"/>
        </w:rPr>
        <w:t>§ 14 A.</w:t>
      </w:r>
      <w:r w:rsidRPr="00815B3E">
        <w:rPr>
          <w:rFonts w:eastAsia="Calibri" w:cs="Times New Roman"/>
          <w:bCs/>
          <w:color w:val="000000" w:themeColor="text1"/>
          <w:szCs w:val="24"/>
        </w:rPr>
        <w:t xml:space="preserve"> </w:t>
      </w:r>
    </w:p>
    <w:p w14:paraId="4054B7C8" w14:textId="421B8DBE" w:rsidR="00A46112" w:rsidRPr="00815B3E" w:rsidRDefault="00AC3CB5" w:rsidP="00332548">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Det foreslås, at der i </w:t>
      </w:r>
      <w:r w:rsidR="009C3102" w:rsidRPr="00815B3E">
        <w:rPr>
          <w:rFonts w:eastAsia="Calibri" w:cs="Times New Roman"/>
          <w:bCs/>
          <w:color w:val="000000" w:themeColor="text1"/>
          <w:szCs w:val="24"/>
        </w:rPr>
        <w:t>ejendomsavancebeskatningsloven</w:t>
      </w:r>
      <w:r w:rsidR="0011061B" w:rsidRPr="00815B3E">
        <w:rPr>
          <w:rFonts w:eastAsia="Calibri" w:cs="Times New Roman"/>
          <w:bCs/>
          <w:color w:val="000000" w:themeColor="text1"/>
          <w:szCs w:val="24"/>
        </w:rPr>
        <w:t xml:space="preserve"> </w:t>
      </w:r>
      <w:r w:rsidR="000C57B1" w:rsidRPr="00815B3E">
        <w:rPr>
          <w:rFonts w:eastAsia="Calibri" w:cs="Times New Roman"/>
          <w:bCs/>
          <w:i/>
          <w:iCs/>
          <w:color w:val="000000" w:themeColor="text1"/>
          <w:szCs w:val="24"/>
        </w:rPr>
        <w:t xml:space="preserve">§ </w:t>
      </w:r>
      <w:r w:rsidRPr="00815B3E">
        <w:rPr>
          <w:rFonts w:eastAsia="Calibri" w:cs="Times New Roman"/>
          <w:bCs/>
          <w:i/>
          <w:iCs/>
          <w:color w:val="000000" w:themeColor="text1"/>
          <w:szCs w:val="24"/>
        </w:rPr>
        <w:t>14 C, s</w:t>
      </w:r>
      <w:r w:rsidR="00332548" w:rsidRPr="00815B3E">
        <w:rPr>
          <w:rFonts w:eastAsia="Calibri" w:cs="Times New Roman"/>
          <w:bCs/>
          <w:i/>
          <w:iCs/>
          <w:color w:val="000000" w:themeColor="text1"/>
          <w:szCs w:val="24"/>
        </w:rPr>
        <w:t>tk. 3</w:t>
      </w:r>
      <w:r w:rsidRPr="00815B3E">
        <w:rPr>
          <w:rFonts w:eastAsia="Calibri" w:cs="Times New Roman"/>
          <w:bCs/>
          <w:color w:val="000000" w:themeColor="text1"/>
          <w:szCs w:val="24"/>
        </w:rPr>
        <w:t>,</w:t>
      </w:r>
      <w:r w:rsidRPr="00815B3E">
        <w:rPr>
          <w:rFonts w:eastAsia="Calibri" w:cs="Times New Roman"/>
          <w:bCs/>
          <w:i/>
          <w:iCs/>
          <w:color w:val="000000" w:themeColor="text1"/>
          <w:szCs w:val="24"/>
        </w:rPr>
        <w:t xml:space="preserve"> </w:t>
      </w:r>
      <w:r w:rsidR="0011061B" w:rsidRPr="00815B3E">
        <w:rPr>
          <w:rFonts w:eastAsia="Calibri" w:cs="Times New Roman"/>
          <w:bCs/>
          <w:i/>
          <w:iCs/>
          <w:color w:val="000000" w:themeColor="text1"/>
          <w:szCs w:val="24"/>
        </w:rPr>
        <w:t xml:space="preserve">1. pkt. </w:t>
      </w:r>
      <w:r w:rsidR="000C57B1" w:rsidRPr="00815B3E">
        <w:rPr>
          <w:rFonts w:eastAsia="Calibri" w:cs="Times New Roman"/>
          <w:bCs/>
          <w:color w:val="000000" w:themeColor="text1"/>
          <w:szCs w:val="24"/>
        </w:rPr>
        <w:t>indsættes en bestemmelse</w:t>
      </w:r>
      <w:r w:rsidR="0011061B" w:rsidRPr="00815B3E">
        <w:rPr>
          <w:rFonts w:eastAsia="Calibri" w:cs="Times New Roman"/>
          <w:bCs/>
          <w:color w:val="000000" w:themeColor="text1"/>
          <w:szCs w:val="24"/>
        </w:rPr>
        <w:t xml:space="preserve"> om</w:t>
      </w:r>
      <w:r w:rsidR="000C57B1" w:rsidRPr="00815B3E">
        <w:rPr>
          <w:rFonts w:eastAsia="Calibri" w:cs="Times New Roman"/>
          <w:bCs/>
          <w:color w:val="000000" w:themeColor="text1"/>
          <w:szCs w:val="24"/>
        </w:rPr>
        <w:t>,</w:t>
      </w:r>
      <w:r w:rsidRPr="00815B3E">
        <w:rPr>
          <w:rFonts w:eastAsia="Calibri" w:cs="Times New Roman"/>
          <w:bCs/>
          <w:color w:val="000000" w:themeColor="text1"/>
          <w:szCs w:val="24"/>
        </w:rPr>
        <w:t xml:space="preserve"> at d</w:t>
      </w:r>
      <w:r w:rsidR="00332548" w:rsidRPr="00815B3E">
        <w:rPr>
          <w:rFonts w:eastAsia="Calibri" w:cs="Times New Roman"/>
          <w:bCs/>
          <w:color w:val="000000" w:themeColor="text1"/>
          <w:szCs w:val="24"/>
        </w:rPr>
        <w:t xml:space="preserve">en opgjorte indgangsværdi </w:t>
      </w:r>
      <w:r w:rsidR="0011061B" w:rsidRPr="00815B3E">
        <w:rPr>
          <w:rFonts w:eastAsia="Calibri" w:cs="Times New Roman"/>
          <w:bCs/>
          <w:color w:val="000000" w:themeColor="text1"/>
          <w:szCs w:val="24"/>
        </w:rPr>
        <w:t xml:space="preserve">endvidere </w:t>
      </w:r>
      <w:r w:rsidR="00F07481">
        <w:rPr>
          <w:rFonts w:eastAsia="Calibri" w:cs="Times New Roman"/>
          <w:bCs/>
          <w:color w:val="000000" w:themeColor="text1"/>
          <w:szCs w:val="24"/>
        </w:rPr>
        <w:t xml:space="preserve">skal </w:t>
      </w:r>
      <w:r w:rsidR="00332548" w:rsidRPr="00815B3E">
        <w:rPr>
          <w:rFonts w:eastAsia="Calibri" w:cs="Times New Roman"/>
          <w:bCs/>
          <w:color w:val="000000" w:themeColor="text1"/>
          <w:szCs w:val="24"/>
        </w:rPr>
        <w:t>anvendes som</w:t>
      </w:r>
      <w:r w:rsidRPr="00815B3E">
        <w:rPr>
          <w:rFonts w:eastAsia="Calibri" w:cs="Times New Roman"/>
          <w:bCs/>
          <w:color w:val="000000" w:themeColor="text1"/>
          <w:szCs w:val="24"/>
        </w:rPr>
        <w:t xml:space="preserve"> </w:t>
      </w:r>
      <w:r w:rsidR="00332548" w:rsidRPr="00815B3E">
        <w:rPr>
          <w:rFonts w:eastAsia="Calibri" w:cs="Times New Roman"/>
          <w:bCs/>
          <w:color w:val="000000" w:themeColor="text1"/>
          <w:szCs w:val="24"/>
        </w:rPr>
        <w:t xml:space="preserve">afståelsessum </w:t>
      </w:r>
      <w:r w:rsidR="00A46112" w:rsidRPr="00815B3E">
        <w:rPr>
          <w:rFonts w:eastAsia="Calibri" w:cs="Times New Roman"/>
          <w:bCs/>
          <w:color w:val="000000" w:themeColor="text1"/>
          <w:szCs w:val="24"/>
        </w:rPr>
        <w:t>i forhold til beskatningen af genvundne af</w:t>
      </w:r>
      <w:r w:rsidR="00A46112" w:rsidRPr="00815B3E">
        <w:rPr>
          <w:rFonts w:eastAsia="Calibri" w:cs="Times New Roman"/>
          <w:bCs/>
          <w:color w:val="000000" w:themeColor="text1"/>
          <w:szCs w:val="24"/>
        </w:rPr>
        <w:lastRenderedPageBreak/>
        <w:t xml:space="preserve">skrivninger eller tab efter afskrivningsloven </w:t>
      </w:r>
      <w:r w:rsidR="00332548" w:rsidRPr="00815B3E">
        <w:rPr>
          <w:rFonts w:eastAsia="Calibri" w:cs="Times New Roman"/>
          <w:bCs/>
          <w:color w:val="000000" w:themeColor="text1"/>
          <w:szCs w:val="24"/>
        </w:rPr>
        <w:t>i forhold til realisationsbeskatning af ejendommen efter</w:t>
      </w:r>
      <w:r w:rsidRPr="00815B3E">
        <w:rPr>
          <w:rFonts w:eastAsia="Calibri" w:cs="Times New Roman"/>
          <w:bCs/>
          <w:color w:val="000000" w:themeColor="text1"/>
          <w:szCs w:val="24"/>
        </w:rPr>
        <w:t xml:space="preserve"> </w:t>
      </w:r>
      <w:r w:rsidR="00A46112" w:rsidRPr="00815B3E">
        <w:rPr>
          <w:rFonts w:eastAsia="Calibri" w:cs="Times New Roman"/>
          <w:bCs/>
          <w:color w:val="000000" w:themeColor="text1"/>
          <w:szCs w:val="24"/>
        </w:rPr>
        <w:t>det foreslåede kapit</w:t>
      </w:r>
      <w:r w:rsidR="00D20EEF">
        <w:rPr>
          <w:rFonts w:eastAsia="Calibri" w:cs="Times New Roman"/>
          <w:bCs/>
          <w:color w:val="000000" w:themeColor="text1"/>
          <w:szCs w:val="24"/>
        </w:rPr>
        <w:t>e</w:t>
      </w:r>
      <w:r w:rsidR="00A46112" w:rsidRPr="00815B3E">
        <w:rPr>
          <w:rFonts w:eastAsia="Calibri" w:cs="Times New Roman"/>
          <w:bCs/>
          <w:color w:val="000000" w:themeColor="text1"/>
          <w:szCs w:val="24"/>
        </w:rPr>
        <w:t xml:space="preserve">l 2 i </w:t>
      </w:r>
      <w:r w:rsidR="009C3102" w:rsidRPr="00815B3E">
        <w:rPr>
          <w:rFonts w:eastAsia="Calibri" w:cs="Times New Roman"/>
          <w:bCs/>
          <w:color w:val="000000" w:themeColor="text1"/>
          <w:szCs w:val="24"/>
        </w:rPr>
        <w:t>ejendomsavancebeskatningsloven</w:t>
      </w:r>
      <w:r w:rsidR="00A46112" w:rsidRPr="00815B3E">
        <w:rPr>
          <w:rFonts w:eastAsia="Calibri" w:cs="Times New Roman"/>
          <w:bCs/>
          <w:color w:val="000000" w:themeColor="text1"/>
          <w:szCs w:val="24"/>
        </w:rPr>
        <w:t>s og</w:t>
      </w:r>
      <w:r w:rsidR="00332548" w:rsidRPr="00815B3E">
        <w:rPr>
          <w:rFonts w:eastAsia="Calibri" w:cs="Times New Roman"/>
          <w:bCs/>
          <w:color w:val="000000" w:themeColor="text1"/>
          <w:szCs w:val="24"/>
        </w:rPr>
        <w:t xml:space="preserve"> i forhold til beskatning som næringsejendom efter</w:t>
      </w:r>
      <w:r w:rsidRPr="00815B3E">
        <w:rPr>
          <w:rFonts w:eastAsia="Calibri" w:cs="Times New Roman"/>
          <w:bCs/>
          <w:color w:val="000000" w:themeColor="text1"/>
          <w:szCs w:val="24"/>
        </w:rPr>
        <w:t xml:space="preserve"> </w:t>
      </w:r>
      <w:r w:rsidR="00332548" w:rsidRPr="00815B3E">
        <w:rPr>
          <w:rFonts w:eastAsia="Calibri" w:cs="Times New Roman"/>
          <w:bCs/>
          <w:color w:val="000000" w:themeColor="text1"/>
          <w:szCs w:val="24"/>
        </w:rPr>
        <w:t xml:space="preserve">statsskatteloven. </w:t>
      </w:r>
    </w:p>
    <w:p w14:paraId="59F35D84" w14:textId="1F63F850" w:rsidR="00332548" w:rsidRPr="00815B3E" w:rsidRDefault="0011061B" w:rsidP="00332548">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I § 14 C, stk. 3, </w:t>
      </w:r>
      <w:r w:rsidR="00AC3CB5" w:rsidRPr="00815B3E">
        <w:rPr>
          <w:rFonts w:eastAsia="Calibri" w:cs="Times New Roman"/>
          <w:bCs/>
          <w:i/>
          <w:iCs/>
          <w:color w:val="000000" w:themeColor="text1"/>
          <w:szCs w:val="24"/>
        </w:rPr>
        <w:t>2. pkt.</w:t>
      </w:r>
      <w:r w:rsidR="00465BC6">
        <w:rPr>
          <w:rFonts w:eastAsia="Calibri" w:cs="Times New Roman"/>
          <w:bCs/>
          <w:i/>
          <w:iCs/>
          <w:color w:val="000000" w:themeColor="text1"/>
          <w:szCs w:val="24"/>
        </w:rPr>
        <w:t>,</w:t>
      </w:r>
      <w:r w:rsidR="00AC3CB5" w:rsidRPr="00815B3E">
        <w:rPr>
          <w:rFonts w:eastAsia="Calibri" w:cs="Times New Roman"/>
          <w:bCs/>
          <w:i/>
          <w:iCs/>
          <w:color w:val="000000" w:themeColor="text1"/>
          <w:szCs w:val="24"/>
        </w:rPr>
        <w:t xml:space="preserve"> </w:t>
      </w:r>
      <w:r w:rsidRPr="00815B3E">
        <w:rPr>
          <w:rFonts w:eastAsia="Calibri" w:cs="Times New Roman"/>
          <w:bCs/>
          <w:color w:val="000000" w:themeColor="text1"/>
          <w:szCs w:val="24"/>
        </w:rPr>
        <w:t xml:space="preserve">foreslås det, at </w:t>
      </w:r>
      <w:r w:rsidR="00AC3CB5" w:rsidRPr="00815B3E">
        <w:rPr>
          <w:rFonts w:eastAsia="Calibri" w:cs="Times New Roman"/>
          <w:bCs/>
          <w:color w:val="000000" w:themeColor="text1"/>
          <w:szCs w:val="24"/>
        </w:rPr>
        <w:t>f</w:t>
      </w:r>
      <w:r w:rsidR="00332548" w:rsidRPr="00815B3E">
        <w:rPr>
          <w:rFonts w:eastAsia="Calibri" w:cs="Times New Roman"/>
          <w:bCs/>
          <w:color w:val="000000" w:themeColor="text1"/>
          <w:szCs w:val="24"/>
        </w:rPr>
        <w:t>ortjeneste eller tab efter 1. pkt.</w:t>
      </w:r>
      <w:r w:rsidR="00AC3CB5" w:rsidRPr="00815B3E">
        <w:rPr>
          <w:rFonts w:eastAsia="Calibri" w:cs="Times New Roman"/>
          <w:bCs/>
          <w:color w:val="000000" w:themeColor="text1"/>
          <w:szCs w:val="24"/>
        </w:rPr>
        <w:t xml:space="preserve"> </w:t>
      </w:r>
      <w:r w:rsidR="00332548" w:rsidRPr="00815B3E">
        <w:rPr>
          <w:rFonts w:eastAsia="Calibri" w:cs="Times New Roman"/>
          <w:bCs/>
          <w:color w:val="000000" w:themeColor="text1"/>
          <w:szCs w:val="24"/>
        </w:rPr>
        <w:t xml:space="preserve"> </w:t>
      </w:r>
      <w:r w:rsidR="00F07481">
        <w:rPr>
          <w:rFonts w:eastAsia="Calibri" w:cs="Times New Roman"/>
          <w:bCs/>
          <w:color w:val="000000" w:themeColor="text1"/>
          <w:szCs w:val="24"/>
        </w:rPr>
        <w:t xml:space="preserve">dog </w:t>
      </w:r>
      <w:r w:rsidR="00332548" w:rsidRPr="00815B3E">
        <w:rPr>
          <w:rFonts w:eastAsia="Calibri" w:cs="Times New Roman"/>
          <w:bCs/>
          <w:color w:val="000000" w:themeColor="text1"/>
          <w:szCs w:val="24"/>
        </w:rPr>
        <w:t>først</w:t>
      </w:r>
      <w:r w:rsidR="00F07481">
        <w:rPr>
          <w:rFonts w:eastAsia="Calibri" w:cs="Times New Roman"/>
          <w:bCs/>
          <w:color w:val="000000" w:themeColor="text1"/>
          <w:szCs w:val="24"/>
        </w:rPr>
        <w:t xml:space="preserve"> skal</w:t>
      </w:r>
      <w:r w:rsidR="000C57B1" w:rsidRPr="00815B3E">
        <w:rPr>
          <w:rFonts w:eastAsia="Calibri" w:cs="Times New Roman"/>
          <w:bCs/>
          <w:color w:val="000000" w:themeColor="text1"/>
          <w:szCs w:val="24"/>
        </w:rPr>
        <w:t xml:space="preserve"> medregnes</w:t>
      </w:r>
      <w:r w:rsidR="00332548" w:rsidRPr="00815B3E">
        <w:rPr>
          <w:rFonts w:eastAsia="Calibri" w:cs="Times New Roman"/>
          <w:bCs/>
          <w:color w:val="000000" w:themeColor="text1"/>
          <w:szCs w:val="24"/>
        </w:rPr>
        <w:t xml:space="preserve"> ved opgørelsen af den skattepligtige indkomst for det</w:t>
      </w:r>
      <w:r w:rsidR="00AC3CB5" w:rsidRPr="00815B3E">
        <w:rPr>
          <w:rFonts w:eastAsia="Calibri" w:cs="Times New Roman"/>
          <w:bCs/>
          <w:color w:val="000000" w:themeColor="text1"/>
          <w:szCs w:val="24"/>
        </w:rPr>
        <w:t xml:space="preserve"> </w:t>
      </w:r>
      <w:r w:rsidR="00332548" w:rsidRPr="00815B3E">
        <w:rPr>
          <w:rFonts w:eastAsia="Calibri" w:cs="Times New Roman"/>
          <w:bCs/>
          <w:color w:val="000000" w:themeColor="text1"/>
          <w:szCs w:val="24"/>
        </w:rPr>
        <w:t xml:space="preserve">indkomstår, hvor ejendommens egentlige afståelse finder sted, jf. dog </w:t>
      </w:r>
      <w:r w:rsidRPr="00815B3E">
        <w:rPr>
          <w:rFonts w:eastAsia="Calibri" w:cs="Times New Roman"/>
          <w:bCs/>
          <w:color w:val="000000" w:themeColor="text1"/>
          <w:szCs w:val="24"/>
        </w:rPr>
        <w:t xml:space="preserve">den foreslåede </w:t>
      </w:r>
      <w:r w:rsidR="00332548" w:rsidRPr="00815B3E">
        <w:rPr>
          <w:rFonts w:eastAsia="Calibri" w:cs="Times New Roman"/>
          <w:bCs/>
          <w:color w:val="000000" w:themeColor="text1"/>
          <w:szCs w:val="24"/>
        </w:rPr>
        <w:t>§ 14</w:t>
      </w:r>
      <w:r w:rsidR="00AC3CB5" w:rsidRPr="00815B3E">
        <w:rPr>
          <w:rFonts w:eastAsia="Calibri" w:cs="Times New Roman"/>
          <w:bCs/>
          <w:color w:val="000000" w:themeColor="text1"/>
          <w:szCs w:val="24"/>
        </w:rPr>
        <w:t xml:space="preserve"> </w:t>
      </w:r>
      <w:r w:rsidR="00332548" w:rsidRPr="00815B3E">
        <w:rPr>
          <w:rFonts w:eastAsia="Calibri" w:cs="Times New Roman"/>
          <w:bCs/>
          <w:color w:val="000000" w:themeColor="text1"/>
          <w:szCs w:val="24"/>
        </w:rPr>
        <w:t>D</w:t>
      </w:r>
      <w:r w:rsidRPr="00815B3E">
        <w:rPr>
          <w:rFonts w:eastAsia="Calibri" w:cs="Times New Roman"/>
          <w:bCs/>
          <w:color w:val="000000" w:themeColor="text1"/>
          <w:szCs w:val="24"/>
        </w:rPr>
        <w:t xml:space="preserve"> i </w:t>
      </w:r>
      <w:r w:rsidR="009C3102" w:rsidRPr="00815B3E">
        <w:rPr>
          <w:rFonts w:eastAsia="Calibri" w:cs="Times New Roman"/>
          <w:bCs/>
          <w:color w:val="000000" w:themeColor="text1"/>
          <w:szCs w:val="24"/>
        </w:rPr>
        <w:t>ejendomsavancebeskatningsloven</w:t>
      </w:r>
      <w:r w:rsidR="00332548" w:rsidRPr="00815B3E">
        <w:rPr>
          <w:rFonts w:eastAsia="Calibri" w:cs="Times New Roman"/>
          <w:bCs/>
          <w:color w:val="000000" w:themeColor="text1"/>
          <w:szCs w:val="24"/>
        </w:rPr>
        <w:t>.</w:t>
      </w:r>
    </w:p>
    <w:p w14:paraId="1D6F46DB" w14:textId="1FC59F83" w:rsidR="00331498" w:rsidRPr="00815B3E" w:rsidRDefault="00C138CF" w:rsidP="00332548">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Den foreslåede bestemmelse i </w:t>
      </w:r>
      <w:r w:rsidR="009C3102" w:rsidRPr="00815B3E">
        <w:rPr>
          <w:rFonts w:eastAsia="Calibri" w:cs="Times New Roman"/>
          <w:bCs/>
          <w:color w:val="000000" w:themeColor="text1"/>
          <w:szCs w:val="24"/>
        </w:rPr>
        <w:t>ejendomsavancebeskatningsloven</w:t>
      </w:r>
      <w:r w:rsidRPr="00815B3E">
        <w:rPr>
          <w:rFonts w:eastAsia="Calibri" w:cs="Times New Roman"/>
          <w:bCs/>
          <w:color w:val="000000" w:themeColor="text1"/>
          <w:szCs w:val="24"/>
        </w:rPr>
        <w:t xml:space="preserve"> § 14 C indebærer, at når en ejendom har været </w:t>
      </w:r>
      <w:r w:rsidR="00D9283C" w:rsidRPr="00815B3E">
        <w:rPr>
          <w:rFonts w:eastAsia="Calibri" w:cs="Times New Roman"/>
          <w:bCs/>
          <w:color w:val="000000" w:themeColor="text1"/>
          <w:szCs w:val="24"/>
        </w:rPr>
        <w:t xml:space="preserve">omfattet af </w:t>
      </w:r>
      <w:r w:rsidRPr="00815B3E">
        <w:rPr>
          <w:rFonts w:eastAsia="Calibri" w:cs="Times New Roman"/>
          <w:bCs/>
          <w:color w:val="000000" w:themeColor="text1"/>
          <w:szCs w:val="24"/>
        </w:rPr>
        <w:t>de hidtidige regler i</w:t>
      </w:r>
      <w:r w:rsidR="00A46112" w:rsidRPr="00815B3E">
        <w:rPr>
          <w:rFonts w:eastAsia="Calibri" w:cs="Times New Roman"/>
          <w:bCs/>
          <w:color w:val="000000" w:themeColor="text1"/>
          <w:szCs w:val="24"/>
        </w:rPr>
        <w:t xml:space="preserve"> afskrivningsloven</w:t>
      </w:r>
      <w:r w:rsidR="00D20EEF">
        <w:rPr>
          <w:rFonts w:eastAsia="Calibri" w:cs="Times New Roman"/>
          <w:bCs/>
          <w:color w:val="000000" w:themeColor="text1"/>
          <w:szCs w:val="24"/>
        </w:rPr>
        <w:t>,</w:t>
      </w:r>
      <w:r w:rsidR="00390E5A">
        <w:rPr>
          <w:rFonts w:eastAsia="Calibri" w:cs="Times New Roman"/>
          <w:bCs/>
          <w:color w:val="000000" w:themeColor="text1"/>
          <w:szCs w:val="24"/>
        </w:rPr>
        <w:t xml:space="preserve"> </w:t>
      </w:r>
      <w:r w:rsidR="009C3102" w:rsidRPr="00815B3E">
        <w:rPr>
          <w:rFonts w:eastAsia="Calibri" w:cs="Times New Roman"/>
          <w:bCs/>
          <w:color w:val="000000" w:themeColor="text1"/>
          <w:szCs w:val="24"/>
        </w:rPr>
        <w:t>ejendomsavancebeskatningsloven</w:t>
      </w:r>
      <w:r w:rsidR="00A46112" w:rsidRPr="00815B3E">
        <w:rPr>
          <w:rFonts w:eastAsia="Calibri" w:cs="Times New Roman"/>
          <w:bCs/>
          <w:color w:val="000000" w:themeColor="text1"/>
          <w:szCs w:val="24"/>
        </w:rPr>
        <w:t xml:space="preserve"> eller statsskatteloven</w:t>
      </w:r>
      <w:r w:rsidRPr="00815B3E">
        <w:rPr>
          <w:rFonts w:eastAsia="Calibri" w:cs="Times New Roman"/>
          <w:bCs/>
          <w:color w:val="000000" w:themeColor="text1"/>
          <w:szCs w:val="24"/>
        </w:rPr>
        <w:t xml:space="preserve"> (realisationsprincippet)</w:t>
      </w:r>
      <w:r w:rsidR="00465BC6">
        <w:rPr>
          <w:rFonts w:eastAsia="Calibri" w:cs="Times New Roman"/>
          <w:bCs/>
          <w:color w:val="000000" w:themeColor="text1"/>
          <w:szCs w:val="24"/>
        </w:rPr>
        <w:t>,</w:t>
      </w:r>
      <w:r w:rsidRPr="00815B3E">
        <w:rPr>
          <w:rFonts w:eastAsia="Calibri" w:cs="Times New Roman"/>
          <w:bCs/>
          <w:color w:val="000000" w:themeColor="text1"/>
          <w:szCs w:val="24"/>
        </w:rPr>
        <w:t xml:space="preserve"> og </w:t>
      </w:r>
      <w:r w:rsidR="00D9283C" w:rsidRPr="00815B3E">
        <w:rPr>
          <w:rFonts w:eastAsia="Calibri" w:cs="Times New Roman"/>
          <w:bCs/>
          <w:color w:val="000000" w:themeColor="text1"/>
          <w:szCs w:val="24"/>
        </w:rPr>
        <w:t xml:space="preserve">herefter </w:t>
      </w:r>
      <w:r w:rsidRPr="00815B3E">
        <w:rPr>
          <w:rFonts w:eastAsia="Calibri" w:cs="Times New Roman"/>
          <w:bCs/>
          <w:color w:val="000000" w:themeColor="text1"/>
          <w:szCs w:val="24"/>
        </w:rPr>
        <w:t xml:space="preserve">overgår til beskatning efter </w:t>
      </w:r>
      <w:r w:rsidR="00D9283C" w:rsidRPr="00815B3E">
        <w:rPr>
          <w:rFonts w:eastAsia="Calibri" w:cs="Times New Roman"/>
          <w:bCs/>
          <w:color w:val="000000" w:themeColor="text1"/>
          <w:szCs w:val="24"/>
        </w:rPr>
        <w:t xml:space="preserve">det foreslåede </w:t>
      </w:r>
      <w:r w:rsidRPr="00815B3E">
        <w:rPr>
          <w:rFonts w:eastAsia="Calibri" w:cs="Times New Roman"/>
          <w:bCs/>
          <w:color w:val="000000" w:themeColor="text1"/>
          <w:szCs w:val="24"/>
        </w:rPr>
        <w:t>lagerprincip, så skal ejendommen i forbindelse med overgangen anses for afstået</w:t>
      </w:r>
      <w:r w:rsidR="00D9283C" w:rsidRPr="00815B3E">
        <w:rPr>
          <w:rFonts w:eastAsia="Calibri" w:cs="Times New Roman"/>
          <w:bCs/>
          <w:color w:val="000000" w:themeColor="text1"/>
          <w:szCs w:val="24"/>
        </w:rPr>
        <w:t xml:space="preserve"> til handelsværdien på overgangstidspunktet</w:t>
      </w:r>
      <w:r w:rsidRPr="00815B3E">
        <w:rPr>
          <w:rFonts w:eastAsia="Calibri" w:cs="Times New Roman"/>
          <w:bCs/>
          <w:color w:val="000000" w:themeColor="text1"/>
          <w:szCs w:val="24"/>
        </w:rPr>
        <w:t xml:space="preserve">. </w:t>
      </w:r>
    </w:p>
    <w:p w14:paraId="2AFFB9E9" w14:textId="2A4704BD" w:rsidR="00C138CF" w:rsidRPr="00815B3E" w:rsidRDefault="00D9283C" w:rsidP="00332548">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Ejeren vil således på overgangstidspunktet skulle foretage en opgørelse af gevinster og tab på samme måde, som hvis ejendommen var blevet solgt for et beløb svarende til handelsværdien. Der vil både skulle foretages en opgørelse af </w:t>
      </w:r>
      <w:r w:rsidR="00331498" w:rsidRPr="00815B3E">
        <w:rPr>
          <w:rFonts w:eastAsia="Calibri" w:cs="Times New Roman"/>
          <w:bCs/>
          <w:color w:val="000000" w:themeColor="text1"/>
          <w:szCs w:val="24"/>
        </w:rPr>
        <w:t xml:space="preserve">eventuelle </w:t>
      </w:r>
      <w:r w:rsidRPr="00815B3E">
        <w:rPr>
          <w:rFonts w:eastAsia="Calibri" w:cs="Times New Roman"/>
          <w:bCs/>
          <w:color w:val="000000" w:themeColor="text1"/>
          <w:szCs w:val="24"/>
        </w:rPr>
        <w:t xml:space="preserve">genvundne afskrivninger </w:t>
      </w:r>
      <w:r w:rsidR="00331498" w:rsidRPr="00815B3E">
        <w:rPr>
          <w:rFonts w:eastAsia="Calibri" w:cs="Times New Roman"/>
          <w:bCs/>
          <w:color w:val="000000" w:themeColor="text1"/>
          <w:szCs w:val="24"/>
        </w:rPr>
        <w:t>eller</w:t>
      </w:r>
      <w:r w:rsidRPr="00815B3E">
        <w:rPr>
          <w:rFonts w:eastAsia="Calibri" w:cs="Times New Roman"/>
          <w:bCs/>
          <w:color w:val="000000" w:themeColor="text1"/>
          <w:szCs w:val="24"/>
        </w:rPr>
        <w:t xml:space="preserve"> tab efter afskrivningsloven og en opgørelse af fortjeneste eller tab ejendomsavancebeskatningsloven eller eventuelt efter statsskatteloven, hvis der er tale om en næringsejendom.</w:t>
      </w:r>
    </w:p>
    <w:p w14:paraId="772C040E" w14:textId="412A7347" w:rsidR="00331498" w:rsidRPr="00815B3E" w:rsidRDefault="00331498" w:rsidP="00332548">
      <w:pPr>
        <w:spacing w:after="240"/>
        <w:rPr>
          <w:rFonts w:eastAsia="Calibri" w:cs="Times New Roman"/>
          <w:bCs/>
          <w:color w:val="000000" w:themeColor="text1"/>
          <w:szCs w:val="24"/>
        </w:rPr>
      </w:pPr>
      <w:r w:rsidRPr="00815B3E">
        <w:rPr>
          <w:rFonts w:eastAsia="Calibri" w:cs="Times New Roman"/>
          <w:bCs/>
          <w:color w:val="000000" w:themeColor="text1"/>
          <w:szCs w:val="24"/>
        </w:rPr>
        <w:t>Opgørelsen vil skulle foretages på grundlag af ejendommens handelsværdi på overgangstidspunktet. Den skattepligtige vil således p</w:t>
      </w:r>
      <w:r w:rsidR="00D20EEF">
        <w:rPr>
          <w:rFonts w:eastAsia="Calibri" w:cs="Times New Roman"/>
          <w:bCs/>
          <w:color w:val="000000" w:themeColor="text1"/>
          <w:szCs w:val="24"/>
        </w:rPr>
        <w:t>å</w:t>
      </w:r>
      <w:r w:rsidRPr="00815B3E">
        <w:rPr>
          <w:rFonts w:eastAsia="Calibri" w:cs="Times New Roman"/>
          <w:bCs/>
          <w:color w:val="000000" w:themeColor="text1"/>
          <w:szCs w:val="24"/>
        </w:rPr>
        <w:t xml:space="preserve"> overgangstidspunktet skulle foretage en opgørelse af ejendommens handelsværdi</w:t>
      </w:r>
      <w:r w:rsidR="00D20EEF">
        <w:rPr>
          <w:rFonts w:eastAsia="Calibri" w:cs="Times New Roman"/>
          <w:bCs/>
          <w:color w:val="000000" w:themeColor="text1"/>
          <w:szCs w:val="24"/>
        </w:rPr>
        <w:t>, der forslås anvendt som</w:t>
      </w:r>
      <w:r w:rsidR="00390E5A">
        <w:rPr>
          <w:rFonts w:eastAsia="Calibri" w:cs="Times New Roman"/>
          <w:bCs/>
          <w:color w:val="000000" w:themeColor="text1"/>
          <w:szCs w:val="24"/>
        </w:rPr>
        <w:t xml:space="preserve"> </w:t>
      </w:r>
      <w:r w:rsidR="00D20EEF" w:rsidRPr="00AA527C">
        <w:rPr>
          <w:rFonts w:eastAsia="Calibri" w:cs="Times New Roman"/>
          <w:bCs/>
          <w:color w:val="000000" w:themeColor="text1"/>
          <w:szCs w:val="24"/>
        </w:rPr>
        <w:t>indgangsværdi</w:t>
      </w:r>
      <w:r w:rsidR="00D20EEF">
        <w:rPr>
          <w:rFonts w:eastAsia="Calibri" w:cs="Times New Roman"/>
          <w:bCs/>
          <w:color w:val="000000" w:themeColor="text1"/>
          <w:szCs w:val="24"/>
        </w:rPr>
        <w:t xml:space="preserve"> i forhold til lagerbeskatningen</w:t>
      </w:r>
      <w:r w:rsidR="00D20EEF" w:rsidRPr="00AA527C">
        <w:rPr>
          <w:rFonts w:eastAsia="Calibri" w:cs="Times New Roman"/>
          <w:bCs/>
          <w:color w:val="000000" w:themeColor="text1"/>
          <w:szCs w:val="24"/>
        </w:rPr>
        <w:t xml:space="preserve">. </w:t>
      </w:r>
      <w:r w:rsidRPr="00815B3E">
        <w:rPr>
          <w:rFonts w:eastAsia="Calibri" w:cs="Times New Roman"/>
          <w:bCs/>
          <w:color w:val="000000" w:themeColor="text1"/>
          <w:szCs w:val="24"/>
        </w:rPr>
        <w:t xml:space="preserve"> </w:t>
      </w:r>
    </w:p>
    <w:p w14:paraId="4D41073A" w14:textId="14954576" w:rsidR="009C3FBD" w:rsidRPr="00815B3E" w:rsidRDefault="009C3FBD">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Overgangstidspunktet fremgår af den foreslåede § 14 B i </w:t>
      </w:r>
      <w:r w:rsidR="009C3102" w:rsidRPr="00815B3E">
        <w:rPr>
          <w:rFonts w:eastAsia="Calibri" w:cs="Times New Roman"/>
          <w:bCs/>
          <w:color w:val="000000" w:themeColor="text1"/>
          <w:szCs w:val="24"/>
        </w:rPr>
        <w:t>ejendomsavancebeskatningsloven</w:t>
      </w:r>
      <w:r w:rsidRPr="00815B3E">
        <w:rPr>
          <w:rFonts w:eastAsia="Calibri" w:cs="Times New Roman"/>
          <w:bCs/>
          <w:color w:val="000000" w:themeColor="text1"/>
          <w:szCs w:val="24"/>
        </w:rPr>
        <w:t xml:space="preserve">. Overgangstidspunktet vil efter forslaget normalt være primo året, jf. den foreslåede § 14 B, stk. 1, men vil </w:t>
      </w:r>
      <w:r w:rsidR="00465BC6">
        <w:rPr>
          <w:rFonts w:eastAsia="Calibri" w:cs="Times New Roman"/>
          <w:bCs/>
          <w:color w:val="000000" w:themeColor="text1"/>
          <w:szCs w:val="24"/>
        </w:rPr>
        <w:t xml:space="preserve">f.eks. </w:t>
      </w:r>
      <w:r w:rsidRPr="00815B3E">
        <w:rPr>
          <w:rFonts w:eastAsia="Calibri" w:cs="Times New Roman"/>
          <w:bCs/>
          <w:color w:val="000000" w:themeColor="text1"/>
          <w:szCs w:val="24"/>
        </w:rPr>
        <w:t xml:space="preserve">i forbindelse med </w:t>
      </w:r>
      <w:r w:rsidR="00465BC6">
        <w:rPr>
          <w:rFonts w:eastAsia="Calibri" w:cs="Times New Roman"/>
          <w:bCs/>
          <w:color w:val="000000" w:themeColor="text1"/>
          <w:szCs w:val="24"/>
        </w:rPr>
        <w:t xml:space="preserve">en </w:t>
      </w:r>
      <w:r w:rsidRPr="00815B3E">
        <w:rPr>
          <w:rFonts w:eastAsia="Calibri" w:cs="Times New Roman"/>
          <w:bCs/>
          <w:color w:val="000000" w:themeColor="text1"/>
          <w:szCs w:val="24"/>
        </w:rPr>
        <w:t xml:space="preserve">skattefri omstrukturering </w:t>
      </w:r>
      <w:r w:rsidR="00A46112" w:rsidRPr="00815B3E">
        <w:rPr>
          <w:rFonts w:eastAsia="Calibri" w:cs="Times New Roman"/>
          <w:bCs/>
          <w:color w:val="000000" w:themeColor="text1"/>
          <w:szCs w:val="24"/>
        </w:rPr>
        <w:t xml:space="preserve">kunne </w:t>
      </w:r>
      <w:r w:rsidRPr="00815B3E">
        <w:rPr>
          <w:rFonts w:eastAsia="Calibri" w:cs="Times New Roman"/>
          <w:bCs/>
          <w:color w:val="000000" w:themeColor="text1"/>
          <w:szCs w:val="24"/>
        </w:rPr>
        <w:t xml:space="preserve">være på et andet tidspunkt, jf. den foreslåede § 14 B, stk. </w:t>
      </w:r>
      <w:r w:rsidR="0009793B" w:rsidRPr="00815B3E">
        <w:rPr>
          <w:rFonts w:eastAsia="Calibri" w:cs="Times New Roman"/>
          <w:bCs/>
          <w:color w:val="000000" w:themeColor="text1"/>
          <w:szCs w:val="24"/>
        </w:rPr>
        <w:t>3</w:t>
      </w:r>
      <w:r w:rsidRPr="00815B3E">
        <w:rPr>
          <w:rFonts w:eastAsia="Calibri" w:cs="Times New Roman"/>
          <w:bCs/>
          <w:color w:val="000000" w:themeColor="text1"/>
          <w:szCs w:val="24"/>
        </w:rPr>
        <w:t>.</w:t>
      </w:r>
    </w:p>
    <w:p w14:paraId="057FFBD5" w14:textId="1799C0DA" w:rsidR="00331498" w:rsidRPr="00815B3E" w:rsidRDefault="00331498" w:rsidP="00332548">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Denne indgangsværdi vil efter forslaget til </w:t>
      </w:r>
      <w:r w:rsidR="009C3102" w:rsidRPr="00815B3E">
        <w:rPr>
          <w:rFonts w:eastAsia="Calibri" w:cs="Times New Roman"/>
          <w:bCs/>
          <w:color w:val="000000" w:themeColor="text1"/>
          <w:szCs w:val="24"/>
        </w:rPr>
        <w:t>ejendomsavancebeskatningsloven</w:t>
      </w:r>
      <w:r w:rsidRPr="00815B3E">
        <w:rPr>
          <w:rFonts w:eastAsia="Calibri" w:cs="Times New Roman"/>
          <w:bCs/>
          <w:color w:val="000000" w:themeColor="text1"/>
          <w:szCs w:val="24"/>
        </w:rPr>
        <w:t xml:space="preserve"> § 14 C, stk. 2, for det første skulle anvendes som anskaffelsessum i forhold til den foreslåede lagerbeskatning. Det indebærer, at det efter forslaget kun </w:t>
      </w:r>
      <w:r w:rsidR="00A46112" w:rsidRPr="00815B3E">
        <w:rPr>
          <w:rFonts w:eastAsia="Calibri" w:cs="Times New Roman"/>
          <w:bCs/>
          <w:color w:val="000000" w:themeColor="text1"/>
          <w:szCs w:val="24"/>
        </w:rPr>
        <w:t>vil være</w:t>
      </w:r>
      <w:r w:rsidRPr="00815B3E">
        <w:rPr>
          <w:rFonts w:eastAsia="Calibri" w:cs="Times New Roman"/>
          <w:bCs/>
          <w:color w:val="000000" w:themeColor="text1"/>
          <w:szCs w:val="24"/>
        </w:rPr>
        <w:t xml:space="preserve"> fremtidige værdistigninger, der indtræder efter overgangen til lagerbeskatning, der</w:t>
      </w:r>
      <w:r w:rsidR="00A46112" w:rsidRPr="00815B3E">
        <w:rPr>
          <w:rFonts w:eastAsia="Calibri" w:cs="Times New Roman"/>
          <w:bCs/>
          <w:color w:val="000000" w:themeColor="text1"/>
          <w:szCs w:val="24"/>
        </w:rPr>
        <w:t xml:space="preserve"> vil skulle</w:t>
      </w:r>
      <w:r w:rsidRPr="00815B3E">
        <w:rPr>
          <w:rFonts w:eastAsia="Calibri" w:cs="Times New Roman"/>
          <w:bCs/>
          <w:color w:val="000000" w:themeColor="text1"/>
          <w:szCs w:val="24"/>
        </w:rPr>
        <w:t xml:space="preserve"> beskattes efter lager</w:t>
      </w:r>
      <w:r w:rsidR="00A46112" w:rsidRPr="00815B3E">
        <w:rPr>
          <w:rFonts w:eastAsia="Calibri" w:cs="Times New Roman"/>
          <w:bCs/>
          <w:color w:val="000000" w:themeColor="text1"/>
          <w:szCs w:val="24"/>
        </w:rPr>
        <w:t>princippet</w:t>
      </w:r>
      <w:r w:rsidRPr="00815B3E">
        <w:rPr>
          <w:rFonts w:eastAsia="Calibri" w:cs="Times New Roman"/>
          <w:bCs/>
          <w:color w:val="000000" w:themeColor="text1"/>
          <w:szCs w:val="24"/>
        </w:rPr>
        <w:t xml:space="preserve">. </w:t>
      </w:r>
    </w:p>
    <w:p w14:paraId="32123611" w14:textId="319AE27F" w:rsidR="00D9283C" w:rsidRPr="00815B3E" w:rsidRDefault="001D5ED5" w:rsidP="00332548">
      <w:pPr>
        <w:spacing w:after="240"/>
        <w:rPr>
          <w:rFonts w:eastAsia="Calibri" w:cs="Times New Roman"/>
          <w:bCs/>
          <w:color w:val="000000" w:themeColor="text1"/>
          <w:szCs w:val="24"/>
        </w:rPr>
      </w:pPr>
      <w:r w:rsidRPr="00815B3E">
        <w:rPr>
          <w:rFonts w:eastAsia="Calibri" w:cs="Times New Roman"/>
          <w:bCs/>
          <w:color w:val="000000" w:themeColor="text1"/>
          <w:szCs w:val="24"/>
        </w:rPr>
        <w:t>Indgangsværdien vil f</w:t>
      </w:r>
      <w:r w:rsidR="00331498" w:rsidRPr="00815B3E">
        <w:rPr>
          <w:rFonts w:eastAsia="Calibri" w:cs="Times New Roman"/>
          <w:bCs/>
          <w:color w:val="000000" w:themeColor="text1"/>
          <w:szCs w:val="24"/>
        </w:rPr>
        <w:t>or det andet</w:t>
      </w:r>
      <w:r w:rsidR="00A46112" w:rsidRPr="00815B3E">
        <w:rPr>
          <w:rFonts w:eastAsia="Calibri" w:cs="Times New Roman"/>
          <w:bCs/>
          <w:color w:val="000000" w:themeColor="text1"/>
          <w:szCs w:val="24"/>
        </w:rPr>
        <w:t xml:space="preserve"> efter</w:t>
      </w:r>
      <w:r w:rsidR="00331498" w:rsidRPr="00815B3E">
        <w:rPr>
          <w:rFonts w:eastAsia="Calibri" w:cs="Times New Roman"/>
          <w:bCs/>
          <w:color w:val="000000" w:themeColor="text1"/>
          <w:szCs w:val="24"/>
        </w:rPr>
        <w:t xml:space="preserve"> forslaget til </w:t>
      </w:r>
      <w:r w:rsidR="009C3102" w:rsidRPr="00815B3E">
        <w:rPr>
          <w:rFonts w:eastAsia="Calibri" w:cs="Times New Roman"/>
          <w:bCs/>
          <w:color w:val="000000" w:themeColor="text1"/>
          <w:szCs w:val="24"/>
        </w:rPr>
        <w:t>ejendomsavancebeskatningsloven</w:t>
      </w:r>
      <w:r w:rsidR="00A46112" w:rsidRPr="00815B3E">
        <w:rPr>
          <w:rFonts w:eastAsia="Calibri" w:cs="Times New Roman"/>
          <w:bCs/>
          <w:color w:val="000000" w:themeColor="text1"/>
          <w:szCs w:val="24"/>
        </w:rPr>
        <w:t>s</w:t>
      </w:r>
      <w:r w:rsidR="00331498" w:rsidRPr="00815B3E">
        <w:rPr>
          <w:rFonts w:eastAsia="Calibri" w:cs="Times New Roman"/>
          <w:bCs/>
          <w:color w:val="000000" w:themeColor="text1"/>
          <w:szCs w:val="24"/>
        </w:rPr>
        <w:t xml:space="preserve"> § 14 C, stk. 3</w:t>
      </w:r>
      <w:r w:rsidR="00D20EEF">
        <w:rPr>
          <w:rFonts w:eastAsia="Calibri" w:cs="Times New Roman"/>
          <w:bCs/>
          <w:color w:val="000000" w:themeColor="text1"/>
          <w:szCs w:val="24"/>
        </w:rPr>
        <w:t>,</w:t>
      </w:r>
      <w:r w:rsidR="00331498" w:rsidRPr="00815B3E">
        <w:rPr>
          <w:rFonts w:eastAsia="Calibri" w:cs="Times New Roman"/>
          <w:bCs/>
          <w:color w:val="000000" w:themeColor="text1"/>
          <w:szCs w:val="24"/>
        </w:rPr>
        <w:t xml:space="preserve"> </w:t>
      </w:r>
      <w:r w:rsidR="00D0259E" w:rsidRPr="00815B3E">
        <w:rPr>
          <w:rFonts w:eastAsia="Calibri" w:cs="Times New Roman"/>
          <w:bCs/>
          <w:color w:val="000000" w:themeColor="text1"/>
          <w:szCs w:val="24"/>
        </w:rPr>
        <w:t xml:space="preserve">skulle </w:t>
      </w:r>
      <w:r w:rsidR="00331498" w:rsidRPr="00815B3E">
        <w:rPr>
          <w:rFonts w:eastAsia="Calibri" w:cs="Times New Roman"/>
          <w:bCs/>
          <w:color w:val="000000" w:themeColor="text1"/>
          <w:szCs w:val="24"/>
        </w:rPr>
        <w:t xml:space="preserve">anvendes som afståelsessum i forhold til </w:t>
      </w:r>
      <w:r w:rsidR="00331498" w:rsidRPr="00815B3E">
        <w:rPr>
          <w:rFonts w:eastAsia="Calibri" w:cs="Times New Roman"/>
          <w:bCs/>
          <w:color w:val="000000" w:themeColor="text1"/>
          <w:szCs w:val="24"/>
        </w:rPr>
        <w:lastRenderedPageBreak/>
        <w:t xml:space="preserve">genvundne afskrivninger og tab, der vil skulle opgøres som følge af, at ejendommen anses for afstået </w:t>
      </w:r>
      <w:r w:rsidR="00D0259E" w:rsidRPr="00815B3E">
        <w:rPr>
          <w:rFonts w:eastAsia="Calibri" w:cs="Times New Roman"/>
          <w:bCs/>
          <w:color w:val="000000" w:themeColor="text1"/>
          <w:szCs w:val="24"/>
        </w:rPr>
        <w:t xml:space="preserve">på overgangstidspunktet. Endelig vil indgangsværdien </w:t>
      </w:r>
      <w:r w:rsidR="00420F6E" w:rsidRPr="00815B3E">
        <w:rPr>
          <w:rFonts w:eastAsia="Calibri" w:cs="Times New Roman"/>
          <w:bCs/>
          <w:color w:val="000000" w:themeColor="text1"/>
          <w:szCs w:val="24"/>
        </w:rPr>
        <w:t xml:space="preserve">for det tredje </w:t>
      </w:r>
      <w:r w:rsidR="00D0259E" w:rsidRPr="00815B3E">
        <w:rPr>
          <w:rFonts w:eastAsia="Calibri" w:cs="Times New Roman"/>
          <w:bCs/>
          <w:color w:val="000000" w:themeColor="text1"/>
          <w:szCs w:val="24"/>
        </w:rPr>
        <w:t xml:space="preserve">skulle anvendes som afståelsessum i forhold til gevinst eller tab på ejendommen efter de gældende regler om realisationsbeskatning </w:t>
      </w:r>
      <w:r w:rsidR="001065D0" w:rsidRPr="00815B3E">
        <w:rPr>
          <w:rFonts w:eastAsia="Calibri" w:cs="Times New Roman"/>
          <w:bCs/>
          <w:color w:val="000000" w:themeColor="text1"/>
          <w:szCs w:val="24"/>
        </w:rPr>
        <w:t>efter</w:t>
      </w:r>
      <w:r w:rsidR="00D0259E" w:rsidRPr="00815B3E">
        <w:rPr>
          <w:rFonts w:eastAsia="Calibri" w:cs="Times New Roman"/>
          <w:bCs/>
          <w:color w:val="000000" w:themeColor="text1"/>
          <w:szCs w:val="24"/>
        </w:rPr>
        <w:t xml:space="preserve"> ejendomsavancebeskatningsloven eller eventuelt efter statsskatteloven, hvis ejendommen er anskaffet som et led i den skattepligtiges næringsvej. </w:t>
      </w:r>
      <w:r w:rsidR="00331498" w:rsidRPr="00815B3E">
        <w:rPr>
          <w:rFonts w:eastAsia="Calibri" w:cs="Times New Roman"/>
          <w:bCs/>
          <w:color w:val="000000" w:themeColor="text1"/>
          <w:szCs w:val="24"/>
        </w:rPr>
        <w:t xml:space="preserve"> </w:t>
      </w:r>
    </w:p>
    <w:p w14:paraId="578A5D37" w14:textId="3876120C" w:rsidR="00420F6E" w:rsidRPr="00815B3E" w:rsidRDefault="00420F6E" w:rsidP="00332548">
      <w:pPr>
        <w:spacing w:after="240"/>
        <w:rPr>
          <w:rFonts w:eastAsia="Calibri" w:cs="Times New Roman"/>
          <w:bCs/>
          <w:color w:val="000000" w:themeColor="text1"/>
          <w:szCs w:val="24"/>
        </w:rPr>
      </w:pPr>
      <w:r w:rsidRPr="00815B3E">
        <w:rPr>
          <w:rFonts w:eastAsia="Calibri" w:cs="Times New Roman"/>
          <w:bCs/>
          <w:color w:val="000000" w:themeColor="text1"/>
          <w:szCs w:val="24"/>
        </w:rPr>
        <w:t>Det er den samme handelsværdi (indgangsværdi), der efter forslaget vil skulle anvendes i alle tre henseender, dvs. som anskaffelsessum ved indgang til lagerbeskatning, som afståelsessum ved opgørelse af genvundne afskrivninger og tab og som afståelsessum ved opgørelse af gevinst og tab på ejendommen.</w:t>
      </w:r>
    </w:p>
    <w:p w14:paraId="42F4BBB9" w14:textId="07B3C675" w:rsidR="00D0259E" w:rsidRPr="00815B3E" w:rsidRDefault="00D0259E" w:rsidP="00332548">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Det </w:t>
      </w:r>
      <w:r w:rsidR="00D20EEF" w:rsidRPr="00AA527C">
        <w:rPr>
          <w:rFonts w:eastAsia="Calibri" w:cs="Times New Roman"/>
          <w:bCs/>
          <w:color w:val="000000" w:themeColor="text1"/>
          <w:szCs w:val="24"/>
        </w:rPr>
        <w:t>foreslås</w:t>
      </w:r>
      <w:r w:rsidR="00D20EEF">
        <w:rPr>
          <w:rFonts w:eastAsia="Calibri" w:cs="Times New Roman"/>
          <w:bCs/>
          <w:color w:val="000000" w:themeColor="text1"/>
          <w:szCs w:val="24"/>
        </w:rPr>
        <w:t xml:space="preserve"> i ejendomsavancebeskatningslovens § 14 C, stk. 3, 2. pkt.</w:t>
      </w:r>
      <w:r w:rsidRPr="00815B3E">
        <w:rPr>
          <w:rFonts w:eastAsia="Calibri" w:cs="Times New Roman"/>
          <w:bCs/>
          <w:color w:val="000000" w:themeColor="text1"/>
          <w:szCs w:val="24"/>
        </w:rPr>
        <w:t>, at fortjeneste eller tab efter hidtidige regler om realisationsbeskatning først skal medregnes ved opgørelsen af den skattepligtige indkomst i det indkomstår, hvor ejendommens egentlige afståelse finder sted</w:t>
      </w:r>
      <w:r w:rsidR="009004D4">
        <w:rPr>
          <w:rFonts w:eastAsia="Calibri" w:cs="Times New Roman"/>
          <w:bCs/>
          <w:color w:val="000000" w:themeColor="text1"/>
          <w:szCs w:val="24"/>
        </w:rPr>
        <w:t>, jf. dog den foreslåede § 14 D i ejendoms</w:t>
      </w:r>
      <w:r w:rsidR="009B4206">
        <w:rPr>
          <w:rFonts w:eastAsia="Calibri" w:cs="Times New Roman"/>
          <w:bCs/>
          <w:color w:val="000000" w:themeColor="text1"/>
          <w:szCs w:val="24"/>
        </w:rPr>
        <w:t>avancebeskatningsloven</w:t>
      </w:r>
      <w:r w:rsidRPr="00815B3E">
        <w:rPr>
          <w:rFonts w:eastAsia="Calibri" w:cs="Times New Roman"/>
          <w:bCs/>
          <w:color w:val="000000" w:themeColor="text1"/>
          <w:szCs w:val="24"/>
        </w:rPr>
        <w:t xml:space="preserve">. </w:t>
      </w:r>
    </w:p>
    <w:p w14:paraId="545395EF" w14:textId="0356B817" w:rsidR="004E24A9" w:rsidRPr="00815B3E" w:rsidRDefault="004E24A9" w:rsidP="004E24A9">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Hvis indgangsværdien for en ejendom f.eks. udgør 1 mio. kr., så vil ejendommen i relation til lagerbeskatningen blive anset for at være anskaffet for 1 mio. kr. I relation til beskatningen af genvundne afskrivninger og tab efter afskrivningsloven og i relation til beskatning af fortjeneste og tab efter </w:t>
      </w:r>
      <w:r w:rsidR="009C3102" w:rsidRPr="00815B3E">
        <w:rPr>
          <w:rFonts w:eastAsia="Calibri" w:cs="Times New Roman"/>
          <w:bCs/>
          <w:color w:val="000000" w:themeColor="text1"/>
          <w:szCs w:val="24"/>
        </w:rPr>
        <w:t>ejendomsavancebeskatningsloven</w:t>
      </w:r>
      <w:r w:rsidRPr="00815B3E">
        <w:rPr>
          <w:rFonts w:eastAsia="Calibri" w:cs="Times New Roman"/>
          <w:bCs/>
          <w:color w:val="000000" w:themeColor="text1"/>
          <w:szCs w:val="24"/>
        </w:rPr>
        <w:t xml:space="preserve"> eller statsskatteloven vil ejendommen tilsvarende blive anset for afstået for 1 mio. kr.</w:t>
      </w:r>
    </w:p>
    <w:p w14:paraId="0EEE23B4" w14:textId="666DBBAF" w:rsidR="001065D0" w:rsidRPr="00815B3E" w:rsidRDefault="004E24A9" w:rsidP="00332548">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Efter forslaget skal </w:t>
      </w:r>
      <w:r w:rsidR="001065D0" w:rsidRPr="00815B3E">
        <w:rPr>
          <w:rFonts w:eastAsia="Calibri" w:cs="Times New Roman"/>
          <w:bCs/>
          <w:color w:val="000000" w:themeColor="text1"/>
          <w:szCs w:val="24"/>
        </w:rPr>
        <w:t>der således foretage</w:t>
      </w:r>
      <w:r w:rsidR="00D20EEF">
        <w:rPr>
          <w:rFonts w:eastAsia="Calibri" w:cs="Times New Roman"/>
          <w:bCs/>
          <w:color w:val="000000" w:themeColor="text1"/>
          <w:szCs w:val="24"/>
        </w:rPr>
        <w:t>s</w:t>
      </w:r>
      <w:r w:rsidR="001065D0" w:rsidRPr="00815B3E">
        <w:rPr>
          <w:rFonts w:eastAsia="Calibri" w:cs="Times New Roman"/>
          <w:bCs/>
          <w:color w:val="000000" w:themeColor="text1"/>
          <w:szCs w:val="24"/>
        </w:rPr>
        <w:t xml:space="preserve"> en opgørelse af </w:t>
      </w:r>
      <w:proofErr w:type="spellStart"/>
      <w:r w:rsidR="001065D0" w:rsidRPr="00815B3E">
        <w:rPr>
          <w:rFonts w:eastAsia="Calibri" w:cs="Times New Roman"/>
          <w:bCs/>
          <w:color w:val="000000" w:themeColor="text1"/>
          <w:szCs w:val="24"/>
        </w:rPr>
        <w:t>urealiseret</w:t>
      </w:r>
      <w:proofErr w:type="spellEnd"/>
      <w:r w:rsidR="001065D0" w:rsidRPr="00815B3E">
        <w:rPr>
          <w:rFonts w:eastAsia="Calibri" w:cs="Times New Roman"/>
          <w:bCs/>
          <w:color w:val="000000" w:themeColor="text1"/>
          <w:szCs w:val="24"/>
        </w:rPr>
        <w:t xml:space="preserve"> </w:t>
      </w:r>
      <w:r w:rsidRPr="00815B3E">
        <w:rPr>
          <w:rFonts w:eastAsia="Calibri" w:cs="Times New Roman"/>
          <w:bCs/>
          <w:color w:val="000000" w:themeColor="text1"/>
          <w:szCs w:val="24"/>
        </w:rPr>
        <w:t>f</w:t>
      </w:r>
      <w:r w:rsidR="00D0259E" w:rsidRPr="00815B3E">
        <w:rPr>
          <w:rFonts w:eastAsia="Calibri" w:cs="Times New Roman"/>
          <w:bCs/>
          <w:color w:val="000000" w:themeColor="text1"/>
          <w:szCs w:val="24"/>
        </w:rPr>
        <w:t>ortjenest</w:t>
      </w:r>
      <w:r w:rsidRPr="00815B3E">
        <w:rPr>
          <w:rFonts w:eastAsia="Calibri" w:cs="Times New Roman"/>
          <w:bCs/>
          <w:color w:val="000000" w:themeColor="text1"/>
          <w:szCs w:val="24"/>
        </w:rPr>
        <w:t>e og</w:t>
      </w:r>
      <w:r w:rsidR="00D0259E" w:rsidRPr="00815B3E">
        <w:rPr>
          <w:rFonts w:eastAsia="Calibri" w:cs="Times New Roman"/>
          <w:bCs/>
          <w:color w:val="000000" w:themeColor="text1"/>
          <w:szCs w:val="24"/>
        </w:rPr>
        <w:t xml:space="preserve"> tab </w:t>
      </w:r>
      <w:r w:rsidR="001065D0" w:rsidRPr="00815B3E">
        <w:rPr>
          <w:rFonts w:eastAsia="Calibri" w:cs="Times New Roman"/>
          <w:bCs/>
          <w:color w:val="000000" w:themeColor="text1"/>
          <w:szCs w:val="24"/>
        </w:rPr>
        <w:t>i</w:t>
      </w:r>
      <w:r w:rsidR="00D0259E" w:rsidRPr="00815B3E">
        <w:rPr>
          <w:rFonts w:eastAsia="Calibri" w:cs="Times New Roman"/>
          <w:bCs/>
          <w:color w:val="000000" w:themeColor="text1"/>
          <w:szCs w:val="24"/>
        </w:rPr>
        <w:t xml:space="preserve"> forbindelse med overgangen til lagerbeskatning, men</w:t>
      </w:r>
      <w:r w:rsidR="001065D0" w:rsidRPr="00815B3E">
        <w:rPr>
          <w:rFonts w:eastAsia="Calibri" w:cs="Times New Roman"/>
          <w:bCs/>
          <w:color w:val="000000" w:themeColor="text1"/>
          <w:szCs w:val="24"/>
        </w:rPr>
        <w:t xml:space="preserve"> fortjenesten og tabet skal ikke </w:t>
      </w:r>
      <w:r w:rsidR="00D0259E" w:rsidRPr="00815B3E">
        <w:rPr>
          <w:rFonts w:eastAsia="Calibri" w:cs="Times New Roman"/>
          <w:bCs/>
          <w:color w:val="000000" w:themeColor="text1"/>
          <w:szCs w:val="24"/>
        </w:rPr>
        <w:t>beskattes</w:t>
      </w:r>
      <w:r w:rsidR="001065D0" w:rsidRPr="00815B3E">
        <w:rPr>
          <w:rFonts w:eastAsia="Calibri" w:cs="Times New Roman"/>
          <w:bCs/>
          <w:color w:val="000000" w:themeColor="text1"/>
          <w:szCs w:val="24"/>
        </w:rPr>
        <w:t xml:space="preserve"> i overgangsåret</w:t>
      </w:r>
      <w:r w:rsidR="00D0259E" w:rsidRPr="00815B3E">
        <w:rPr>
          <w:rFonts w:eastAsia="Calibri" w:cs="Times New Roman"/>
          <w:bCs/>
          <w:color w:val="000000" w:themeColor="text1"/>
          <w:szCs w:val="24"/>
        </w:rPr>
        <w:t xml:space="preserve">. </w:t>
      </w:r>
    </w:p>
    <w:p w14:paraId="4EF0C3DE" w14:textId="6690F27F" w:rsidR="004E24A9" w:rsidRPr="00815B3E" w:rsidRDefault="00D0259E" w:rsidP="00332548">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Det </w:t>
      </w:r>
      <w:r w:rsidR="00A65302">
        <w:rPr>
          <w:rFonts w:eastAsia="Calibri" w:cs="Times New Roman"/>
          <w:bCs/>
          <w:color w:val="000000" w:themeColor="text1"/>
          <w:szCs w:val="24"/>
        </w:rPr>
        <w:t>er hensigten</w:t>
      </w:r>
      <w:r w:rsidRPr="00815B3E">
        <w:rPr>
          <w:rFonts w:eastAsia="Calibri" w:cs="Times New Roman"/>
          <w:bCs/>
          <w:color w:val="000000" w:themeColor="text1"/>
          <w:szCs w:val="24"/>
        </w:rPr>
        <w:t xml:space="preserve">, at </w:t>
      </w:r>
      <w:r w:rsidR="00665421">
        <w:rPr>
          <w:rFonts w:eastAsia="Calibri" w:cs="Times New Roman"/>
          <w:bCs/>
          <w:color w:val="000000" w:themeColor="text1"/>
          <w:szCs w:val="24"/>
        </w:rPr>
        <w:t>Skatteforvaltningen</w:t>
      </w:r>
      <w:r w:rsidR="00F07481" w:rsidRPr="00815B3E">
        <w:rPr>
          <w:rFonts w:eastAsia="Calibri" w:cs="Times New Roman"/>
          <w:bCs/>
          <w:color w:val="000000" w:themeColor="text1"/>
          <w:szCs w:val="24"/>
        </w:rPr>
        <w:t xml:space="preserve"> </w:t>
      </w:r>
      <w:r w:rsidR="00A65302">
        <w:rPr>
          <w:rFonts w:eastAsia="Calibri" w:cs="Times New Roman"/>
          <w:bCs/>
          <w:color w:val="000000" w:themeColor="text1"/>
          <w:szCs w:val="24"/>
        </w:rPr>
        <w:t>skal</w:t>
      </w:r>
      <w:r w:rsidRPr="00815B3E">
        <w:rPr>
          <w:rFonts w:eastAsia="Calibri" w:cs="Times New Roman"/>
          <w:bCs/>
          <w:color w:val="000000" w:themeColor="text1"/>
          <w:szCs w:val="24"/>
        </w:rPr>
        <w:t xml:space="preserve"> fastsætte regler om, at selskabet forpligtes til at indberette gevinsten eller tabet til </w:t>
      </w:r>
      <w:r w:rsidR="00665421">
        <w:rPr>
          <w:rFonts w:eastAsia="Calibri" w:cs="Times New Roman"/>
          <w:bCs/>
          <w:color w:val="000000" w:themeColor="text1"/>
          <w:szCs w:val="24"/>
        </w:rPr>
        <w:t>Skatteforvaltningen</w:t>
      </w:r>
      <w:r w:rsidR="004A572F" w:rsidRPr="00815B3E">
        <w:rPr>
          <w:rFonts w:eastAsia="Calibri" w:cs="Times New Roman"/>
          <w:bCs/>
          <w:color w:val="000000" w:themeColor="text1"/>
          <w:szCs w:val="24"/>
        </w:rPr>
        <w:t xml:space="preserve"> </w:t>
      </w:r>
      <w:r w:rsidRPr="00815B3E">
        <w:rPr>
          <w:rFonts w:eastAsia="Calibri" w:cs="Times New Roman"/>
          <w:bCs/>
          <w:color w:val="000000" w:themeColor="text1"/>
          <w:szCs w:val="24"/>
        </w:rPr>
        <w:t>for overgangsåret. Gevinsten eller tabet vil således hvile på ejendommen</w:t>
      </w:r>
      <w:r w:rsidR="001D5ED5" w:rsidRPr="00815B3E">
        <w:rPr>
          <w:rFonts w:eastAsia="Calibri" w:cs="Times New Roman"/>
          <w:bCs/>
          <w:color w:val="000000" w:themeColor="text1"/>
          <w:szCs w:val="24"/>
        </w:rPr>
        <w:t xml:space="preserve"> som en latent skatteforpligtelse</w:t>
      </w:r>
      <w:r w:rsidR="001065D0" w:rsidRPr="00815B3E">
        <w:rPr>
          <w:rFonts w:eastAsia="Calibri" w:cs="Times New Roman"/>
          <w:bCs/>
          <w:color w:val="000000" w:themeColor="text1"/>
          <w:szCs w:val="24"/>
        </w:rPr>
        <w:t xml:space="preserve">, der </w:t>
      </w:r>
      <w:r w:rsidR="001D5ED5" w:rsidRPr="00815B3E">
        <w:rPr>
          <w:rFonts w:eastAsia="Calibri" w:cs="Times New Roman"/>
          <w:bCs/>
          <w:color w:val="000000" w:themeColor="text1"/>
          <w:szCs w:val="24"/>
        </w:rPr>
        <w:t>som udgangspunkt først</w:t>
      </w:r>
      <w:r w:rsidR="001065D0" w:rsidRPr="00815B3E">
        <w:rPr>
          <w:rFonts w:eastAsia="Calibri" w:cs="Times New Roman"/>
          <w:bCs/>
          <w:color w:val="000000" w:themeColor="text1"/>
          <w:szCs w:val="24"/>
        </w:rPr>
        <w:t xml:space="preserve"> vil</w:t>
      </w:r>
      <w:r w:rsidR="001D5ED5" w:rsidRPr="00815B3E">
        <w:rPr>
          <w:rFonts w:eastAsia="Calibri" w:cs="Times New Roman"/>
          <w:bCs/>
          <w:color w:val="000000" w:themeColor="text1"/>
          <w:szCs w:val="24"/>
        </w:rPr>
        <w:t xml:space="preserve"> </w:t>
      </w:r>
      <w:r w:rsidRPr="00815B3E">
        <w:rPr>
          <w:rFonts w:eastAsia="Calibri" w:cs="Times New Roman"/>
          <w:bCs/>
          <w:color w:val="000000" w:themeColor="text1"/>
          <w:szCs w:val="24"/>
        </w:rPr>
        <w:t xml:space="preserve">blive udløst og medregnet til den skattepligtige indkomst på det tidspunkt, hvor ejendommen måtte blive afstået. </w:t>
      </w:r>
    </w:p>
    <w:p w14:paraId="2F816CC4" w14:textId="1AC60603" w:rsidR="004E24A9" w:rsidRPr="00815B3E" w:rsidRDefault="004E24A9" w:rsidP="00332548">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Efter de regler, der foreslås i </w:t>
      </w:r>
      <w:r w:rsidR="009C3102" w:rsidRPr="00815B3E">
        <w:rPr>
          <w:rFonts w:eastAsia="Calibri" w:cs="Times New Roman"/>
          <w:bCs/>
          <w:color w:val="000000" w:themeColor="text1"/>
          <w:szCs w:val="24"/>
        </w:rPr>
        <w:t>ejendomsavancebeskatningsloven</w:t>
      </w:r>
      <w:r w:rsidRPr="00815B3E">
        <w:rPr>
          <w:rFonts w:eastAsia="Calibri" w:cs="Times New Roman"/>
          <w:bCs/>
          <w:color w:val="000000" w:themeColor="text1"/>
          <w:szCs w:val="24"/>
        </w:rPr>
        <w:t xml:space="preserve"> § 14 D</w:t>
      </w:r>
      <w:r w:rsidR="00D20EEF">
        <w:rPr>
          <w:rFonts w:eastAsia="Calibri" w:cs="Times New Roman"/>
          <w:bCs/>
          <w:color w:val="000000" w:themeColor="text1"/>
          <w:szCs w:val="24"/>
        </w:rPr>
        <w:t>,</w:t>
      </w:r>
      <w:r w:rsidRPr="00815B3E">
        <w:rPr>
          <w:rFonts w:eastAsia="Calibri" w:cs="Times New Roman"/>
          <w:bCs/>
          <w:color w:val="000000" w:themeColor="text1"/>
          <w:szCs w:val="24"/>
        </w:rPr>
        <w:t xml:space="preserve"> vil den fremtidige lagerbeskatning af ejendommen dog kunne føre til reguleringer i form af en nedsættelse af den opgjorte </w:t>
      </w:r>
      <w:proofErr w:type="spellStart"/>
      <w:r w:rsidR="001065D0" w:rsidRPr="00815B3E">
        <w:rPr>
          <w:rFonts w:eastAsia="Calibri" w:cs="Times New Roman"/>
          <w:bCs/>
          <w:color w:val="000000" w:themeColor="text1"/>
          <w:szCs w:val="24"/>
        </w:rPr>
        <w:t>urealiserede</w:t>
      </w:r>
      <w:proofErr w:type="spellEnd"/>
      <w:r w:rsidR="001065D0" w:rsidRPr="00815B3E">
        <w:rPr>
          <w:rFonts w:eastAsia="Calibri" w:cs="Times New Roman"/>
          <w:bCs/>
          <w:color w:val="000000" w:themeColor="text1"/>
          <w:szCs w:val="24"/>
        </w:rPr>
        <w:t xml:space="preserve"> </w:t>
      </w:r>
      <w:r w:rsidRPr="00815B3E">
        <w:rPr>
          <w:rFonts w:eastAsia="Calibri" w:cs="Times New Roman"/>
          <w:bCs/>
          <w:color w:val="000000" w:themeColor="text1"/>
          <w:szCs w:val="24"/>
        </w:rPr>
        <w:t>fortjeneste eller det opgjorte</w:t>
      </w:r>
      <w:r w:rsidR="001065D0" w:rsidRPr="00815B3E">
        <w:rPr>
          <w:rFonts w:eastAsia="Calibri" w:cs="Times New Roman"/>
          <w:bCs/>
          <w:color w:val="000000" w:themeColor="text1"/>
          <w:szCs w:val="24"/>
        </w:rPr>
        <w:t xml:space="preserve"> </w:t>
      </w:r>
      <w:proofErr w:type="spellStart"/>
      <w:r w:rsidR="001065D0" w:rsidRPr="00815B3E">
        <w:rPr>
          <w:rFonts w:eastAsia="Calibri" w:cs="Times New Roman"/>
          <w:bCs/>
          <w:color w:val="000000" w:themeColor="text1"/>
          <w:szCs w:val="24"/>
        </w:rPr>
        <w:t>urealiserede</w:t>
      </w:r>
      <w:proofErr w:type="spellEnd"/>
      <w:r w:rsidRPr="00815B3E">
        <w:rPr>
          <w:rFonts w:eastAsia="Calibri" w:cs="Times New Roman"/>
          <w:bCs/>
          <w:color w:val="000000" w:themeColor="text1"/>
          <w:szCs w:val="24"/>
        </w:rPr>
        <w:t xml:space="preserve"> tab.</w:t>
      </w:r>
    </w:p>
    <w:p w14:paraId="63FE2ACB" w14:textId="00D1AEDE" w:rsidR="003A613F" w:rsidRPr="00815B3E" w:rsidRDefault="003A613F" w:rsidP="00CD3B86">
      <w:pPr>
        <w:spacing w:after="240"/>
        <w:jc w:val="left"/>
        <w:rPr>
          <w:rFonts w:eastAsia="Calibri" w:cs="Times New Roman"/>
          <w:bCs/>
          <w:color w:val="000000" w:themeColor="text1"/>
          <w:szCs w:val="24"/>
          <w:u w:val="single"/>
        </w:rPr>
      </w:pPr>
      <w:r w:rsidRPr="00815B3E">
        <w:rPr>
          <w:rFonts w:eastAsia="Calibri" w:cs="Times New Roman"/>
          <w:bCs/>
          <w:color w:val="000000" w:themeColor="text1"/>
          <w:szCs w:val="24"/>
          <w:u w:val="single"/>
        </w:rPr>
        <w:lastRenderedPageBreak/>
        <w:t>Til § 14 D</w:t>
      </w:r>
    </w:p>
    <w:p w14:paraId="622F5F24" w14:textId="4C9065DE" w:rsidR="00DC4636" w:rsidRPr="00815B3E" w:rsidRDefault="00F84CEF" w:rsidP="004B67CA">
      <w:pPr>
        <w:spacing w:after="240"/>
        <w:rPr>
          <w:rFonts w:eastAsia="Calibri" w:cs="Times New Roman"/>
          <w:bCs/>
          <w:color w:val="000000" w:themeColor="text1"/>
          <w:szCs w:val="24"/>
        </w:rPr>
      </w:pPr>
      <w:r w:rsidRPr="00815B3E">
        <w:rPr>
          <w:rFonts w:eastAsia="Calibri" w:cs="Times New Roman"/>
          <w:bCs/>
          <w:color w:val="000000" w:themeColor="text1"/>
          <w:szCs w:val="24"/>
        </w:rPr>
        <w:t>Det foreslås</w:t>
      </w:r>
      <w:r w:rsidR="004B67CA" w:rsidRPr="00815B3E">
        <w:rPr>
          <w:rFonts w:eastAsia="Calibri" w:cs="Times New Roman"/>
          <w:bCs/>
          <w:color w:val="000000" w:themeColor="text1"/>
          <w:szCs w:val="24"/>
        </w:rPr>
        <w:t xml:space="preserve"> </w:t>
      </w:r>
      <w:r w:rsidR="007C7BC5">
        <w:rPr>
          <w:rFonts w:eastAsia="Calibri" w:cs="Times New Roman"/>
          <w:bCs/>
          <w:color w:val="000000" w:themeColor="text1"/>
          <w:szCs w:val="24"/>
        </w:rPr>
        <w:t>i</w:t>
      </w:r>
      <w:r w:rsidR="00FF4085" w:rsidRPr="00815B3E">
        <w:rPr>
          <w:rFonts w:eastAsia="Calibri" w:cs="Times New Roman"/>
          <w:bCs/>
          <w:color w:val="000000" w:themeColor="text1"/>
          <w:szCs w:val="24"/>
        </w:rPr>
        <w:t xml:space="preserve"> </w:t>
      </w:r>
      <w:r w:rsidR="009C3102" w:rsidRPr="00815B3E">
        <w:rPr>
          <w:rFonts w:eastAsia="Calibri" w:cs="Times New Roman"/>
          <w:bCs/>
          <w:color w:val="000000" w:themeColor="text1"/>
          <w:szCs w:val="24"/>
        </w:rPr>
        <w:t>ejendomsavancebeskatningsloven</w:t>
      </w:r>
      <w:r w:rsidR="004B67CA" w:rsidRPr="00815B3E">
        <w:rPr>
          <w:rFonts w:eastAsia="Calibri" w:cs="Times New Roman"/>
          <w:bCs/>
          <w:color w:val="000000" w:themeColor="text1"/>
          <w:szCs w:val="24"/>
        </w:rPr>
        <w:t xml:space="preserve"> </w:t>
      </w:r>
      <w:r w:rsidRPr="00815B3E">
        <w:rPr>
          <w:rFonts w:eastAsia="Calibri" w:cs="Times New Roman"/>
          <w:bCs/>
          <w:i/>
          <w:iCs/>
          <w:color w:val="000000" w:themeColor="text1"/>
          <w:szCs w:val="24"/>
        </w:rPr>
        <w:t>§ 14 D</w:t>
      </w:r>
      <w:r w:rsidRPr="00815B3E">
        <w:rPr>
          <w:rFonts w:eastAsia="Calibri" w:cs="Times New Roman"/>
          <w:bCs/>
          <w:color w:val="000000" w:themeColor="text1"/>
          <w:szCs w:val="24"/>
        </w:rPr>
        <w:t>,</w:t>
      </w:r>
      <w:r w:rsidR="004B67CA" w:rsidRPr="00815B3E">
        <w:rPr>
          <w:rFonts w:eastAsia="Calibri" w:cs="Times New Roman"/>
          <w:bCs/>
          <w:color w:val="000000" w:themeColor="text1"/>
          <w:szCs w:val="24"/>
        </w:rPr>
        <w:t xml:space="preserve"> </w:t>
      </w:r>
      <w:r w:rsidR="00E01FA2" w:rsidRPr="00815B3E">
        <w:rPr>
          <w:rFonts w:eastAsia="Calibri" w:cs="Times New Roman"/>
          <w:bCs/>
          <w:i/>
          <w:iCs/>
          <w:color w:val="000000" w:themeColor="text1"/>
          <w:szCs w:val="24"/>
        </w:rPr>
        <w:t>stk. 1</w:t>
      </w:r>
      <w:r w:rsidR="004B67CA" w:rsidRPr="00815B3E">
        <w:rPr>
          <w:rFonts w:eastAsia="Calibri" w:cs="Times New Roman"/>
          <w:bCs/>
          <w:color w:val="000000" w:themeColor="text1"/>
          <w:szCs w:val="24"/>
        </w:rPr>
        <w:t>, at d</w:t>
      </w:r>
      <w:r w:rsidR="00DC4636" w:rsidRPr="00815B3E">
        <w:rPr>
          <w:rFonts w:eastAsia="Calibri" w:cs="Times New Roman"/>
          <w:bCs/>
          <w:color w:val="000000" w:themeColor="text1"/>
          <w:szCs w:val="24"/>
        </w:rPr>
        <w:t>en skattepligtige for hver ejendom, der overgår fra</w:t>
      </w:r>
      <w:r w:rsidR="004B67CA" w:rsidRPr="00815B3E">
        <w:rPr>
          <w:rFonts w:eastAsia="Calibri" w:cs="Times New Roman"/>
          <w:bCs/>
          <w:color w:val="000000" w:themeColor="text1"/>
          <w:szCs w:val="24"/>
        </w:rPr>
        <w:t xml:space="preserve"> </w:t>
      </w:r>
      <w:r w:rsidR="00DC4636" w:rsidRPr="00815B3E">
        <w:rPr>
          <w:rFonts w:eastAsia="Calibri" w:cs="Times New Roman"/>
          <w:bCs/>
          <w:color w:val="000000" w:themeColor="text1"/>
          <w:szCs w:val="24"/>
        </w:rPr>
        <w:t xml:space="preserve">realisationsbeskatning til lagerbeskatning, </w:t>
      </w:r>
      <w:r w:rsidR="004B67CA" w:rsidRPr="00815B3E">
        <w:rPr>
          <w:rFonts w:eastAsia="Calibri" w:cs="Times New Roman"/>
          <w:bCs/>
          <w:color w:val="000000" w:themeColor="text1"/>
          <w:szCs w:val="24"/>
        </w:rPr>
        <w:t xml:space="preserve">skal </w:t>
      </w:r>
      <w:r w:rsidR="00DC4636" w:rsidRPr="00815B3E">
        <w:rPr>
          <w:rFonts w:eastAsia="Calibri" w:cs="Times New Roman"/>
          <w:bCs/>
          <w:color w:val="000000" w:themeColor="text1"/>
          <w:szCs w:val="24"/>
        </w:rPr>
        <w:t>føre en realisationssaldo, der</w:t>
      </w:r>
      <w:r w:rsidR="00FF4085" w:rsidRPr="00815B3E">
        <w:rPr>
          <w:rFonts w:eastAsia="Calibri" w:cs="Times New Roman"/>
          <w:bCs/>
          <w:color w:val="000000" w:themeColor="text1"/>
          <w:szCs w:val="24"/>
        </w:rPr>
        <w:t xml:space="preserve"> skal</w:t>
      </w:r>
      <w:r w:rsidR="004B67CA" w:rsidRPr="00815B3E">
        <w:rPr>
          <w:rFonts w:eastAsia="Calibri" w:cs="Times New Roman"/>
          <w:bCs/>
          <w:color w:val="000000" w:themeColor="text1"/>
          <w:szCs w:val="24"/>
        </w:rPr>
        <w:t xml:space="preserve"> </w:t>
      </w:r>
      <w:r w:rsidR="00DC4636" w:rsidRPr="00815B3E">
        <w:rPr>
          <w:rFonts w:eastAsia="Calibri" w:cs="Times New Roman"/>
          <w:bCs/>
          <w:color w:val="000000" w:themeColor="text1"/>
          <w:szCs w:val="24"/>
        </w:rPr>
        <w:t>indeholde den samlede nettogevinst (positiv realisationssaldo) eller det</w:t>
      </w:r>
      <w:r w:rsidR="004B67CA" w:rsidRPr="00815B3E">
        <w:rPr>
          <w:rFonts w:eastAsia="Calibri" w:cs="Times New Roman"/>
          <w:bCs/>
          <w:color w:val="000000" w:themeColor="text1"/>
          <w:szCs w:val="24"/>
        </w:rPr>
        <w:t xml:space="preserve"> </w:t>
      </w:r>
      <w:r w:rsidR="00DC4636" w:rsidRPr="00815B3E">
        <w:rPr>
          <w:rFonts w:eastAsia="Calibri" w:cs="Times New Roman"/>
          <w:bCs/>
          <w:color w:val="000000" w:themeColor="text1"/>
          <w:szCs w:val="24"/>
        </w:rPr>
        <w:t>samlede nettotab (negativ realisationssaldo) opgjort efter § 14 C, stk. 3.</w:t>
      </w:r>
    </w:p>
    <w:p w14:paraId="2307AE0F" w14:textId="364F6573" w:rsidR="00FF4085" w:rsidRPr="00815B3E" w:rsidRDefault="00B1577C" w:rsidP="0004441E">
      <w:pPr>
        <w:spacing w:after="240"/>
        <w:rPr>
          <w:rFonts w:eastAsia="Calibri" w:cs="Times New Roman"/>
          <w:bCs/>
          <w:color w:val="000000" w:themeColor="text1"/>
          <w:szCs w:val="24"/>
        </w:rPr>
      </w:pPr>
      <w:r w:rsidRPr="00815B3E">
        <w:rPr>
          <w:rFonts w:eastAsia="Calibri" w:cs="Times New Roman"/>
          <w:bCs/>
          <w:color w:val="000000" w:themeColor="text1"/>
          <w:szCs w:val="24"/>
        </w:rPr>
        <w:t>Den skattepligtige skal således</w:t>
      </w:r>
      <w:r w:rsidR="00FF4085" w:rsidRPr="00815B3E">
        <w:rPr>
          <w:rFonts w:eastAsia="Calibri" w:cs="Times New Roman"/>
          <w:bCs/>
          <w:color w:val="000000" w:themeColor="text1"/>
          <w:szCs w:val="24"/>
        </w:rPr>
        <w:t xml:space="preserve"> efter forslaget</w:t>
      </w:r>
      <w:r w:rsidRPr="00815B3E">
        <w:rPr>
          <w:rFonts w:eastAsia="Calibri" w:cs="Times New Roman"/>
          <w:bCs/>
          <w:color w:val="000000" w:themeColor="text1"/>
          <w:szCs w:val="24"/>
        </w:rPr>
        <w:t xml:space="preserve"> </w:t>
      </w:r>
      <w:r w:rsidR="001331E4" w:rsidRPr="00815B3E">
        <w:rPr>
          <w:rFonts w:eastAsia="Calibri" w:cs="Times New Roman"/>
          <w:bCs/>
          <w:color w:val="000000" w:themeColor="text1"/>
          <w:szCs w:val="24"/>
        </w:rPr>
        <w:t>føre</w:t>
      </w:r>
      <w:r w:rsidRPr="00815B3E">
        <w:rPr>
          <w:rFonts w:eastAsia="Calibri" w:cs="Times New Roman"/>
          <w:bCs/>
          <w:color w:val="000000" w:themeColor="text1"/>
          <w:szCs w:val="24"/>
        </w:rPr>
        <w:t xml:space="preserve"> en realisationssaldo, som</w:t>
      </w:r>
      <w:r w:rsidR="001331E4" w:rsidRPr="00815B3E">
        <w:rPr>
          <w:rFonts w:eastAsia="Calibri" w:cs="Times New Roman"/>
          <w:bCs/>
          <w:color w:val="000000" w:themeColor="text1"/>
          <w:szCs w:val="24"/>
        </w:rPr>
        <w:t xml:space="preserve"> </w:t>
      </w:r>
      <w:r w:rsidR="00FF4085" w:rsidRPr="00815B3E">
        <w:rPr>
          <w:rFonts w:eastAsia="Calibri" w:cs="Times New Roman"/>
          <w:bCs/>
          <w:color w:val="000000" w:themeColor="text1"/>
          <w:szCs w:val="24"/>
        </w:rPr>
        <w:t xml:space="preserve">indeholder den ikke beskattede fortjeneste eller det ikke fratrukne tab efter realisationsprincippet, der efter forslaget til </w:t>
      </w:r>
      <w:r w:rsidR="009C3102" w:rsidRPr="00815B3E">
        <w:rPr>
          <w:rFonts w:eastAsia="Calibri" w:cs="Times New Roman"/>
          <w:bCs/>
          <w:color w:val="000000" w:themeColor="text1"/>
          <w:szCs w:val="24"/>
        </w:rPr>
        <w:t>ejendomsavancebeskatningsloven</w:t>
      </w:r>
      <w:r w:rsidR="00FF4085" w:rsidRPr="00815B3E">
        <w:rPr>
          <w:rFonts w:eastAsia="Calibri" w:cs="Times New Roman"/>
          <w:bCs/>
          <w:color w:val="000000" w:themeColor="text1"/>
          <w:szCs w:val="24"/>
        </w:rPr>
        <w:t xml:space="preserve"> § 14 C vil skulle opgøres ved overgang fra realisationsbeskatning til lagerbeskatning.</w:t>
      </w:r>
      <w:r w:rsidR="001065D0" w:rsidRPr="00815B3E">
        <w:rPr>
          <w:rFonts w:eastAsia="Calibri" w:cs="Times New Roman"/>
          <w:bCs/>
          <w:color w:val="000000" w:themeColor="text1"/>
          <w:szCs w:val="24"/>
        </w:rPr>
        <w:t xml:space="preserve"> </w:t>
      </w:r>
    </w:p>
    <w:p w14:paraId="113450BC" w14:textId="77777777" w:rsidR="000806EC" w:rsidRPr="00815B3E" w:rsidRDefault="00FF4085" w:rsidP="0004441E">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Realisationssaldoen skal efter forslaget opgøres for hver enkelt ejendom, der overgår til lagerbeskatning. </w:t>
      </w:r>
    </w:p>
    <w:p w14:paraId="3876403A" w14:textId="0C1F168E" w:rsidR="00FF4085" w:rsidRPr="00815B3E" w:rsidRDefault="00FF4085" w:rsidP="0004441E">
      <w:pPr>
        <w:spacing w:after="240"/>
        <w:rPr>
          <w:rFonts w:eastAsia="Calibri" w:cs="Times New Roman"/>
          <w:bCs/>
          <w:color w:val="000000" w:themeColor="text1"/>
          <w:szCs w:val="24"/>
        </w:rPr>
      </w:pPr>
      <w:r w:rsidRPr="00815B3E">
        <w:rPr>
          <w:rFonts w:eastAsia="Calibri" w:cs="Times New Roman"/>
          <w:bCs/>
          <w:color w:val="000000" w:themeColor="text1"/>
          <w:szCs w:val="24"/>
        </w:rPr>
        <w:t>Saldoen vil skulle indeholde det samlede nettobeløb (nettofortjeneste eller nettotab), der vil kunne opgøres på overgangstidspunktet</w:t>
      </w:r>
      <w:r w:rsidR="000806EC" w:rsidRPr="00815B3E">
        <w:rPr>
          <w:rFonts w:eastAsia="Calibri" w:cs="Times New Roman"/>
          <w:bCs/>
          <w:color w:val="000000" w:themeColor="text1"/>
          <w:szCs w:val="24"/>
        </w:rPr>
        <w:t xml:space="preserve"> for den enkelte ejendom</w:t>
      </w:r>
      <w:r w:rsidRPr="00815B3E">
        <w:rPr>
          <w:rFonts w:eastAsia="Calibri" w:cs="Times New Roman"/>
          <w:bCs/>
          <w:color w:val="000000" w:themeColor="text1"/>
          <w:szCs w:val="24"/>
        </w:rPr>
        <w:t>.</w:t>
      </w:r>
    </w:p>
    <w:p w14:paraId="362FCF03" w14:textId="2B2E6553" w:rsidR="00FF4085" w:rsidRPr="00815B3E" w:rsidRDefault="00FF4085" w:rsidP="0004441E">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Hvis der ved overgang til lagerbeskatning f.eks. kan opgøres genvundne afskrivninger på 1 mio. kr. og en ejendomsavance på 1,5 mio. kr., så vil realisationssaldoen være positiv og udgøre 2,5 mio. kr. </w:t>
      </w:r>
    </w:p>
    <w:p w14:paraId="02F12CF2" w14:textId="5AA0D1BC" w:rsidR="000806EC" w:rsidRPr="00815B3E" w:rsidRDefault="000806EC" w:rsidP="0004441E">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Hvis der kan opgøres et tab efter afskrivningsloven på 1 mio. kr. og et tab efter ejendomsavancebeskatningsloven på 1,5 mio. kr., så vil realisationssaldoen være negativ og udgøre </w:t>
      </w:r>
      <w:r w:rsidR="00F07481">
        <w:rPr>
          <w:rFonts w:eastAsia="Calibri" w:cs="Times New Roman"/>
          <w:bCs/>
          <w:color w:val="000000" w:themeColor="text1"/>
          <w:szCs w:val="24"/>
        </w:rPr>
        <w:t>minus</w:t>
      </w:r>
      <w:r w:rsidRPr="00815B3E">
        <w:rPr>
          <w:rFonts w:eastAsia="Calibri" w:cs="Times New Roman"/>
          <w:bCs/>
          <w:color w:val="000000" w:themeColor="text1"/>
          <w:szCs w:val="24"/>
        </w:rPr>
        <w:t xml:space="preserve"> 2,5 mio. kr. </w:t>
      </w:r>
    </w:p>
    <w:p w14:paraId="3187C82D" w14:textId="1EF3B3BD" w:rsidR="00FF4085" w:rsidRPr="00815B3E" w:rsidRDefault="00FF4085" w:rsidP="0004441E">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Hvis der kan opgøres </w:t>
      </w:r>
      <w:r w:rsidR="000806EC" w:rsidRPr="00815B3E">
        <w:rPr>
          <w:rFonts w:eastAsia="Calibri" w:cs="Times New Roman"/>
          <w:bCs/>
          <w:color w:val="000000" w:themeColor="text1"/>
          <w:szCs w:val="24"/>
        </w:rPr>
        <w:t>tab efter afskrivningsloven på 0,5 mio. kr. og en ejendomsavance på 1,5 mio. kr.</w:t>
      </w:r>
      <w:r w:rsidRPr="00815B3E">
        <w:rPr>
          <w:rFonts w:eastAsia="Calibri" w:cs="Times New Roman"/>
          <w:bCs/>
          <w:color w:val="000000" w:themeColor="text1"/>
          <w:szCs w:val="24"/>
        </w:rPr>
        <w:t xml:space="preserve">, så vil realisationssaldoen være positiv og udgøre </w:t>
      </w:r>
      <w:r w:rsidR="000806EC" w:rsidRPr="00815B3E">
        <w:rPr>
          <w:rFonts w:eastAsia="Calibri" w:cs="Times New Roman"/>
          <w:bCs/>
          <w:color w:val="000000" w:themeColor="text1"/>
          <w:szCs w:val="24"/>
        </w:rPr>
        <w:t>1,0</w:t>
      </w:r>
      <w:r w:rsidRPr="00815B3E">
        <w:rPr>
          <w:rFonts w:eastAsia="Calibri" w:cs="Times New Roman"/>
          <w:bCs/>
          <w:color w:val="000000" w:themeColor="text1"/>
          <w:szCs w:val="24"/>
        </w:rPr>
        <w:t xml:space="preserve"> mio. kr.</w:t>
      </w:r>
    </w:p>
    <w:p w14:paraId="7C59A514" w14:textId="63A100DA" w:rsidR="000806EC" w:rsidRPr="00815B3E" w:rsidRDefault="000806EC" w:rsidP="00186875">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Realisationssaldoen vil efter forslaget være </w:t>
      </w:r>
      <w:r w:rsidR="001331E4" w:rsidRPr="00815B3E">
        <w:rPr>
          <w:rFonts w:eastAsia="Calibri" w:cs="Times New Roman"/>
          <w:bCs/>
          <w:color w:val="000000" w:themeColor="text1"/>
          <w:szCs w:val="24"/>
        </w:rPr>
        <w:t xml:space="preserve">udtryk for </w:t>
      </w:r>
      <w:r w:rsidRPr="00815B3E">
        <w:rPr>
          <w:rFonts w:eastAsia="Calibri" w:cs="Times New Roman"/>
          <w:bCs/>
          <w:color w:val="000000" w:themeColor="text1"/>
          <w:szCs w:val="24"/>
        </w:rPr>
        <w:t xml:space="preserve">den </w:t>
      </w:r>
      <w:proofErr w:type="spellStart"/>
      <w:r w:rsidRPr="00815B3E">
        <w:rPr>
          <w:rFonts w:eastAsia="Calibri" w:cs="Times New Roman"/>
          <w:bCs/>
          <w:color w:val="000000" w:themeColor="text1"/>
          <w:szCs w:val="24"/>
        </w:rPr>
        <w:t>urealiserede</w:t>
      </w:r>
      <w:proofErr w:type="spellEnd"/>
      <w:r w:rsidRPr="00815B3E">
        <w:rPr>
          <w:rFonts w:eastAsia="Calibri" w:cs="Times New Roman"/>
          <w:bCs/>
          <w:color w:val="000000" w:themeColor="text1"/>
          <w:szCs w:val="24"/>
        </w:rPr>
        <w:t xml:space="preserve"> gevinst eller</w:t>
      </w:r>
      <w:r w:rsidR="00FB1649" w:rsidRPr="00815B3E">
        <w:rPr>
          <w:rFonts w:eastAsia="Calibri" w:cs="Times New Roman"/>
          <w:bCs/>
          <w:color w:val="000000" w:themeColor="text1"/>
          <w:szCs w:val="24"/>
        </w:rPr>
        <w:t xml:space="preserve"> det </w:t>
      </w:r>
      <w:proofErr w:type="spellStart"/>
      <w:r w:rsidR="00FB1649" w:rsidRPr="00815B3E">
        <w:rPr>
          <w:rFonts w:eastAsia="Calibri" w:cs="Times New Roman"/>
          <w:bCs/>
          <w:color w:val="000000" w:themeColor="text1"/>
          <w:szCs w:val="24"/>
        </w:rPr>
        <w:t>urealiserede</w:t>
      </w:r>
      <w:proofErr w:type="spellEnd"/>
      <w:r w:rsidRPr="00815B3E">
        <w:rPr>
          <w:rFonts w:eastAsia="Calibri" w:cs="Times New Roman"/>
          <w:bCs/>
          <w:color w:val="000000" w:themeColor="text1"/>
          <w:szCs w:val="24"/>
        </w:rPr>
        <w:t xml:space="preserve"> tab på en ejendom efter overgang til lagerbeskatning, </w:t>
      </w:r>
      <w:r w:rsidR="009C3FBD" w:rsidRPr="00815B3E">
        <w:rPr>
          <w:rFonts w:eastAsia="Calibri" w:cs="Times New Roman"/>
          <w:bCs/>
          <w:color w:val="000000" w:themeColor="text1"/>
          <w:szCs w:val="24"/>
        </w:rPr>
        <w:t xml:space="preserve">som vil skulle opgøres efter den foreslåede § 14 C i </w:t>
      </w:r>
      <w:r w:rsidR="009C3102" w:rsidRPr="00815B3E">
        <w:rPr>
          <w:rFonts w:eastAsia="Calibri" w:cs="Times New Roman"/>
          <w:bCs/>
          <w:color w:val="000000" w:themeColor="text1"/>
          <w:szCs w:val="24"/>
        </w:rPr>
        <w:t>ejendomsavancebeskatningsloven</w:t>
      </w:r>
      <w:r w:rsidRPr="00815B3E">
        <w:rPr>
          <w:rFonts w:eastAsia="Calibri" w:cs="Times New Roman"/>
          <w:bCs/>
          <w:color w:val="000000" w:themeColor="text1"/>
          <w:szCs w:val="24"/>
        </w:rPr>
        <w:t>.</w:t>
      </w:r>
    </w:p>
    <w:p w14:paraId="1985136A" w14:textId="77777777" w:rsidR="007C7BC5" w:rsidRDefault="005A310C" w:rsidP="00981FEA">
      <w:pPr>
        <w:spacing w:after="240"/>
        <w:jc w:val="left"/>
        <w:rPr>
          <w:rFonts w:eastAsia="Calibri" w:cs="Times New Roman"/>
          <w:bCs/>
          <w:color w:val="000000" w:themeColor="text1"/>
          <w:szCs w:val="24"/>
        </w:rPr>
      </w:pPr>
      <w:r w:rsidRPr="00815B3E">
        <w:rPr>
          <w:rFonts w:eastAsia="Calibri" w:cs="Times New Roman"/>
          <w:bCs/>
          <w:color w:val="000000" w:themeColor="text1"/>
          <w:szCs w:val="24"/>
        </w:rPr>
        <w:t xml:space="preserve">Det foreslås </w:t>
      </w:r>
      <w:r w:rsidR="00225098" w:rsidRPr="00815B3E">
        <w:rPr>
          <w:rFonts w:eastAsia="Calibri" w:cs="Times New Roman"/>
          <w:bCs/>
          <w:color w:val="000000" w:themeColor="text1"/>
          <w:szCs w:val="24"/>
        </w:rPr>
        <w:t xml:space="preserve">i </w:t>
      </w:r>
      <w:r w:rsidR="00FB1649" w:rsidRPr="00815B3E">
        <w:rPr>
          <w:rFonts w:eastAsia="Calibri" w:cs="Times New Roman"/>
          <w:bCs/>
          <w:color w:val="000000" w:themeColor="text1"/>
          <w:szCs w:val="24"/>
        </w:rPr>
        <w:t xml:space="preserve">ejendomsavancebeskatningslovens </w:t>
      </w:r>
      <w:r w:rsidR="00225098" w:rsidRPr="00815B3E">
        <w:rPr>
          <w:rFonts w:eastAsia="Calibri" w:cs="Times New Roman"/>
          <w:bCs/>
          <w:i/>
          <w:iCs/>
          <w:color w:val="000000" w:themeColor="text1"/>
          <w:szCs w:val="24"/>
        </w:rPr>
        <w:t xml:space="preserve">§ 14 D, </w:t>
      </w:r>
      <w:r w:rsidRPr="00815B3E">
        <w:rPr>
          <w:rFonts w:eastAsia="Calibri" w:cs="Times New Roman"/>
          <w:bCs/>
          <w:i/>
          <w:iCs/>
          <w:color w:val="000000" w:themeColor="text1"/>
          <w:szCs w:val="24"/>
        </w:rPr>
        <w:t>s</w:t>
      </w:r>
      <w:r w:rsidR="00DC4636" w:rsidRPr="00815B3E">
        <w:rPr>
          <w:rFonts w:eastAsia="Calibri" w:cs="Times New Roman"/>
          <w:bCs/>
          <w:i/>
          <w:iCs/>
          <w:color w:val="000000" w:themeColor="text1"/>
          <w:szCs w:val="24"/>
        </w:rPr>
        <w:t>tk. 2</w:t>
      </w:r>
      <w:r w:rsidRPr="00815B3E">
        <w:rPr>
          <w:rFonts w:eastAsia="Calibri" w:cs="Times New Roman"/>
          <w:bCs/>
          <w:i/>
          <w:iCs/>
          <w:color w:val="000000" w:themeColor="text1"/>
          <w:szCs w:val="24"/>
        </w:rPr>
        <w:t>,</w:t>
      </w:r>
      <w:r w:rsidR="00F07481">
        <w:rPr>
          <w:rFonts w:eastAsia="Calibri" w:cs="Times New Roman"/>
          <w:bCs/>
          <w:i/>
          <w:iCs/>
          <w:color w:val="000000" w:themeColor="text1"/>
          <w:szCs w:val="24"/>
        </w:rPr>
        <w:t xml:space="preserve"> 1. pkt.,</w:t>
      </w:r>
      <w:r w:rsidR="00225098" w:rsidRPr="00815B3E">
        <w:rPr>
          <w:rFonts w:eastAsia="Calibri" w:cs="Times New Roman"/>
          <w:bCs/>
          <w:color w:val="000000" w:themeColor="text1"/>
          <w:szCs w:val="24"/>
        </w:rPr>
        <w:t xml:space="preserve"> at </w:t>
      </w:r>
      <w:r w:rsidRPr="00815B3E">
        <w:rPr>
          <w:rFonts w:eastAsia="Calibri" w:cs="Times New Roman"/>
          <w:bCs/>
          <w:color w:val="000000" w:themeColor="text1"/>
          <w:szCs w:val="24"/>
        </w:rPr>
        <w:t>h</w:t>
      </w:r>
      <w:r w:rsidR="00DC4636" w:rsidRPr="00815B3E">
        <w:rPr>
          <w:rFonts w:eastAsia="Calibri" w:cs="Times New Roman"/>
          <w:bCs/>
          <w:color w:val="000000" w:themeColor="text1"/>
          <w:szCs w:val="24"/>
        </w:rPr>
        <w:t>vis realisationssaldoen er positiv</w:t>
      </w:r>
      <w:r w:rsidR="00FB1649" w:rsidRPr="00815B3E">
        <w:rPr>
          <w:rFonts w:eastAsia="Calibri" w:cs="Times New Roman"/>
          <w:bCs/>
          <w:color w:val="000000" w:themeColor="text1"/>
          <w:szCs w:val="24"/>
        </w:rPr>
        <w:t>,</w:t>
      </w:r>
      <w:r w:rsidR="00DC4636" w:rsidRPr="00815B3E">
        <w:rPr>
          <w:rFonts w:eastAsia="Calibri" w:cs="Times New Roman"/>
          <w:bCs/>
          <w:color w:val="000000" w:themeColor="text1"/>
          <w:szCs w:val="24"/>
        </w:rPr>
        <w:t xml:space="preserve"> modregnes </w:t>
      </w:r>
      <w:r w:rsidR="004C5AE3">
        <w:rPr>
          <w:rFonts w:eastAsia="Calibri" w:cs="Times New Roman"/>
          <w:bCs/>
          <w:color w:val="000000" w:themeColor="text1"/>
          <w:szCs w:val="24"/>
        </w:rPr>
        <w:t xml:space="preserve">den i </w:t>
      </w:r>
      <w:r w:rsidR="00DC4636" w:rsidRPr="00815B3E">
        <w:rPr>
          <w:rFonts w:eastAsia="Calibri" w:cs="Times New Roman"/>
          <w:bCs/>
          <w:color w:val="000000" w:themeColor="text1"/>
          <w:szCs w:val="24"/>
        </w:rPr>
        <w:t>indkomstårets tab</w:t>
      </w:r>
      <w:r w:rsidRPr="00815B3E">
        <w:rPr>
          <w:rFonts w:eastAsia="Calibri" w:cs="Times New Roman"/>
          <w:bCs/>
          <w:color w:val="000000" w:themeColor="text1"/>
          <w:szCs w:val="24"/>
        </w:rPr>
        <w:t xml:space="preserve"> </w:t>
      </w:r>
      <w:r w:rsidR="00DC4636" w:rsidRPr="00815B3E">
        <w:rPr>
          <w:rFonts w:eastAsia="Calibri" w:cs="Times New Roman"/>
          <w:bCs/>
          <w:color w:val="000000" w:themeColor="text1"/>
          <w:szCs w:val="24"/>
        </w:rPr>
        <w:t xml:space="preserve">på ejendommen opgjort efter lagerprincippet, jf. § 14 A. </w:t>
      </w:r>
    </w:p>
    <w:p w14:paraId="070C5322" w14:textId="669AFC33" w:rsidR="007C7BC5" w:rsidRDefault="00F07481" w:rsidP="00981FEA">
      <w:pPr>
        <w:spacing w:after="240"/>
        <w:jc w:val="left"/>
        <w:rPr>
          <w:rFonts w:eastAsia="Calibri" w:cs="Times New Roman"/>
          <w:bCs/>
          <w:color w:val="000000" w:themeColor="text1"/>
          <w:szCs w:val="24"/>
        </w:rPr>
      </w:pPr>
      <w:r>
        <w:rPr>
          <w:rFonts w:eastAsia="Calibri" w:cs="Times New Roman"/>
          <w:bCs/>
          <w:color w:val="000000" w:themeColor="text1"/>
          <w:szCs w:val="24"/>
        </w:rPr>
        <w:lastRenderedPageBreak/>
        <w:t xml:space="preserve">Det foreslås i </w:t>
      </w:r>
      <w:r w:rsidRPr="00255CB9">
        <w:rPr>
          <w:rFonts w:eastAsia="Calibri" w:cs="Times New Roman"/>
          <w:bCs/>
          <w:i/>
          <w:iCs/>
          <w:color w:val="000000" w:themeColor="text1"/>
          <w:szCs w:val="24"/>
        </w:rPr>
        <w:t>2. pkt.,</w:t>
      </w:r>
      <w:r>
        <w:rPr>
          <w:rFonts w:eastAsia="Calibri" w:cs="Times New Roman"/>
          <w:bCs/>
          <w:color w:val="000000" w:themeColor="text1"/>
          <w:szCs w:val="24"/>
        </w:rPr>
        <w:t xml:space="preserve"> at a</w:t>
      </w:r>
      <w:r w:rsidR="00DC4636" w:rsidRPr="00815B3E">
        <w:rPr>
          <w:rFonts w:eastAsia="Calibri" w:cs="Times New Roman"/>
          <w:bCs/>
          <w:color w:val="000000" w:themeColor="text1"/>
          <w:szCs w:val="24"/>
        </w:rPr>
        <w:t>lene den del af</w:t>
      </w:r>
      <w:r w:rsidR="005A310C" w:rsidRPr="00815B3E">
        <w:rPr>
          <w:rFonts w:eastAsia="Calibri" w:cs="Times New Roman"/>
          <w:bCs/>
          <w:color w:val="000000" w:themeColor="text1"/>
          <w:szCs w:val="24"/>
        </w:rPr>
        <w:t xml:space="preserve"> </w:t>
      </w:r>
      <w:r w:rsidR="00DC4636" w:rsidRPr="00815B3E">
        <w:rPr>
          <w:rFonts w:eastAsia="Calibri" w:cs="Times New Roman"/>
          <w:bCs/>
          <w:color w:val="000000" w:themeColor="text1"/>
          <w:szCs w:val="24"/>
        </w:rPr>
        <w:t>tabet</w:t>
      </w:r>
      <w:r w:rsidR="004C5AE3">
        <w:rPr>
          <w:rFonts w:eastAsia="Calibri" w:cs="Times New Roman"/>
          <w:bCs/>
          <w:color w:val="000000" w:themeColor="text1"/>
          <w:szCs w:val="24"/>
        </w:rPr>
        <w:t xml:space="preserve"> på ejendommen</w:t>
      </w:r>
      <w:r w:rsidR="00DC4636" w:rsidRPr="00815B3E">
        <w:rPr>
          <w:rFonts w:eastAsia="Calibri" w:cs="Times New Roman"/>
          <w:bCs/>
          <w:color w:val="000000" w:themeColor="text1"/>
          <w:szCs w:val="24"/>
        </w:rPr>
        <w:t xml:space="preserve">, der </w:t>
      </w:r>
      <w:r w:rsidR="004C5AE3">
        <w:rPr>
          <w:rFonts w:eastAsia="Calibri" w:cs="Times New Roman"/>
          <w:bCs/>
          <w:color w:val="000000" w:themeColor="text1"/>
          <w:szCs w:val="24"/>
        </w:rPr>
        <w:t>resterer efter modregning</w:t>
      </w:r>
      <w:r w:rsidR="00DC4636" w:rsidRPr="00815B3E">
        <w:rPr>
          <w:rFonts w:eastAsia="Calibri" w:cs="Times New Roman"/>
          <w:bCs/>
          <w:color w:val="000000" w:themeColor="text1"/>
          <w:szCs w:val="24"/>
        </w:rPr>
        <w:t xml:space="preserve">, </w:t>
      </w:r>
      <w:r w:rsidR="00225098" w:rsidRPr="00815B3E">
        <w:rPr>
          <w:rFonts w:eastAsia="Calibri" w:cs="Times New Roman"/>
          <w:bCs/>
          <w:color w:val="000000" w:themeColor="text1"/>
          <w:szCs w:val="24"/>
        </w:rPr>
        <w:t>vil kunne</w:t>
      </w:r>
      <w:r w:rsidR="00DC4636" w:rsidRPr="00815B3E">
        <w:rPr>
          <w:rFonts w:eastAsia="Calibri" w:cs="Times New Roman"/>
          <w:bCs/>
          <w:color w:val="000000" w:themeColor="text1"/>
          <w:szCs w:val="24"/>
        </w:rPr>
        <w:t xml:space="preserve"> fratrækkes ved opgørelsen af den</w:t>
      </w:r>
      <w:r w:rsidR="005A310C" w:rsidRPr="00815B3E">
        <w:rPr>
          <w:rFonts w:eastAsia="Calibri" w:cs="Times New Roman"/>
          <w:bCs/>
          <w:color w:val="000000" w:themeColor="text1"/>
          <w:szCs w:val="24"/>
        </w:rPr>
        <w:t xml:space="preserve"> </w:t>
      </w:r>
      <w:r w:rsidR="00DC4636" w:rsidRPr="00815B3E">
        <w:rPr>
          <w:rFonts w:eastAsia="Calibri" w:cs="Times New Roman"/>
          <w:bCs/>
          <w:color w:val="000000" w:themeColor="text1"/>
          <w:szCs w:val="24"/>
        </w:rPr>
        <w:t xml:space="preserve">skattepligtige indkomst. </w:t>
      </w:r>
    </w:p>
    <w:p w14:paraId="6B1ED3CB" w14:textId="62CA27BD" w:rsidR="007C7BC5" w:rsidRDefault="00F07481" w:rsidP="00981FEA">
      <w:pPr>
        <w:spacing w:after="240"/>
        <w:jc w:val="left"/>
        <w:rPr>
          <w:rFonts w:eastAsia="Calibri" w:cs="Times New Roman"/>
          <w:bCs/>
          <w:color w:val="000000" w:themeColor="text1"/>
          <w:szCs w:val="24"/>
        </w:rPr>
      </w:pPr>
      <w:r>
        <w:rPr>
          <w:rFonts w:eastAsia="Calibri" w:cs="Times New Roman"/>
          <w:bCs/>
          <w:color w:val="000000" w:themeColor="text1"/>
          <w:szCs w:val="24"/>
        </w:rPr>
        <w:t>Det foreslås i 3</w:t>
      </w:r>
      <w:r w:rsidRPr="00613864">
        <w:rPr>
          <w:rFonts w:eastAsia="Calibri" w:cs="Times New Roman"/>
          <w:bCs/>
          <w:i/>
          <w:iCs/>
          <w:color w:val="000000" w:themeColor="text1"/>
          <w:szCs w:val="24"/>
        </w:rPr>
        <w:t>. pkt.,</w:t>
      </w:r>
      <w:r>
        <w:rPr>
          <w:rFonts w:eastAsia="Calibri" w:cs="Times New Roman"/>
          <w:bCs/>
          <w:color w:val="000000" w:themeColor="text1"/>
          <w:szCs w:val="24"/>
        </w:rPr>
        <w:t xml:space="preserve"> at h</w:t>
      </w:r>
      <w:r w:rsidR="00DC4636" w:rsidRPr="00815B3E">
        <w:rPr>
          <w:rFonts w:eastAsia="Calibri" w:cs="Times New Roman"/>
          <w:bCs/>
          <w:color w:val="000000" w:themeColor="text1"/>
          <w:szCs w:val="24"/>
        </w:rPr>
        <w:t>vis realisationssaldoen efter årets modregning</w:t>
      </w:r>
      <w:r w:rsidR="005A310C" w:rsidRPr="00815B3E">
        <w:rPr>
          <w:rFonts w:eastAsia="Calibri" w:cs="Times New Roman"/>
          <w:bCs/>
          <w:color w:val="000000" w:themeColor="text1"/>
          <w:szCs w:val="24"/>
        </w:rPr>
        <w:t xml:space="preserve"> </w:t>
      </w:r>
      <w:r w:rsidR="00DC4636" w:rsidRPr="00815B3E">
        <w:rPr>
          <w:rFonts w:eastAsia="Calibri" w:cs="Times New Roman"/>
          <w:bCs/>
          <w:color w:val="000000" w:themeColor="text1"/>
          <w:szCs w:val="24"/>
        </w:rPr>
        <w:t xml:space="preserve">fortsat er positiv, </w:t>
      </w:r>
      <w:r w:rsidR="00225098" w:rsidRPr="00815B3E">
        <w:rPr>
          <w:rFonts w:eastAsia="Calibri" w:cs="Times New Roman"/>
          <w:bCs/>
          <w:color w:val="000000" w:themeColor="text1"/>
          <w:szCs w:val="24"/>
        </w:rPr>
        <w:t xml:space="preserve">vil </w:t>
      </w:r>
      <w:r w:rsidR="00DC4636" w:rsidRPr="00815B3E">
        <w:rPr>
          <w:rFonts w:eastAsia="Calibri" w:cs="Times New Roman"/>
          <w:bCs/>
          <w:color w:val="000000" w:themeColor="text1"/>
          <w:szCs w:val="24"/>
        </w:rPr>
        <w:t>den positive restsaldo</w:t>
      </w:r>
      <w:r w:rsidR="00225098" w:rsidRPr="00815B3E">
        <w:rPr>
          <w:rFonts w:eastAsia="Calibri" w:cs="Times New Roman"/>
          <w:bCs/>
          <w:color w:val="000000" w:themeColor="text1"/>
          <w:szCs w:val="24"/>
        </w:rPr>
        <w:t xml:space="preserve"> skulle fremføres</w:t>
      </w:r>
      <w:r w:rsidR="00DC4636" w:rsidRPr="00815B3E">
        <w:rPr>
          <w:rFonts w:eastAsia="Calibri" w:cs="Times New Roman"/>
          <w:bCs/>
          <w:color w:val="000000" w:themeColor="text1"/>
          <w:szCs w:val="24"/>
        </w:rPr>
        <w:t xml:space="preserve"> til efterfølgende</w:t>
      </w:r>
      <w:r w:rsidR="005A310C" w:rsidRPr="00815B3E">
        <w:rPr>
          <w:rFonts w:eastAsia="Calibri" w:cs="Times New Roman"/>
          <w:bCs/>
          <w:color w:val="000000" w:themeColor="text1"/>
          <w:szCs w:val="24"/>
        </w:rPr>
        <w:t xml:space="preserve"> </w:t>
      </w:r>
      <w:r w:rsidR="00DC4636" w:rsidRPr="00815B3E">
        <w:rPr>
          <w:rFonts w:eastAsia="Calibri" w:cs="Times New Roman"/>
          <w:bCs/>
          <w:color w:val="000000" w:themeColor="text1"/>
          <w:szCs w:val="24"/>
        </w:rPr>
        <w:t xml:space="preserve">indkomstår. </w:t>
      </w:r>
    </w:p>
    <w:p w14:paraId="6AF10FD2" w14:textId="027C6E7A" w:rsidR="007C7BC5" w:rsidRDefault="00F07481" w:rsidP="00981FEA">
      <w:pPr>
        <w:spacing w:after="240"/>
        <w:jc w:val="left"/>
        <w:rPr>
          <w:rFonts w:eastAsia="Calibri" w:cs="Times New Roman"/>
          <w:bCs/>
          <w:color w:val="000000" w:themeColor="text1"/>
          <w:szCs w:val="24"/>
        </w:rPr>
      </w:pPr>
      <w:r>
        <w:rPr>
          <w:rFonts w:eastAsia="Calibri" w:cs="Times New Roman"/>
          <w:bCs/>
          <w:color w:val="000000" w:themeColor="text1"/>
          <w:szCs w:val="24"/>
        </w:rPr>
        <w:t xml:space="preserve">Det foreslås </w:t>
      </w:r>
      <w:r w:rsidRPr="00255CB9">
        <w:rPr>
          <w:rFonts w:eastAsia="Calibri" w:cs="Times New Roman"/>
          <w:bCs/>
          <w:i/>
          <w:iCs/>
          <w:color w:val="000000" w:themeColor="text1"/>
          <w:szCs w:val="24"/>
        </w:rPr>
        <w:t>i 4. pkt</w:t>
      </w:r>
      <w:r>
        <w:rPr>
          <w:rFonts w:eastAsia="Calibri" w:cs="Times New Roman"/>
          <w:bCs/>
          <w:color w:val="000000" w:themeColor="text1"/>
          <w:szCs w:val="24"/>
        </w:rPr>
        <w:t>., at e</w:t>
      </w:r>
      <w:r w:rsidR="00DC4636" w:rsidRPr="00815B3E">
        <w:rPr>
          <w:rFonts w:eastAsia="Calibri" w:cs="Times New Roman"/>
          <w:bCs/>
          <w:color w:val="000000" w:themeColor="text1"/>
          <w:szCs w:val="24"/>
        </w:rPr>
        <w:t>n positiv saldo alene</w:t>
      </w:r>
      <w:r w:rsidR="007C7BC5">
        <w:rPr>
          <w:rFonts w:eastAsia="Calibri" w:cs="Times New Roman"/>
          <w:bCs/>
          <w:color w:val="000000" w:themeColor="text1"/>
          <w:szCs w:val="24"/>
        </w:rPr>
        <w:t xml:space="preserve"> vil</w:t>
      </w:r>
      <w:r w:rsidR="00225098" w:rsidRPr="00815B3E">
        <w:rPr>
          <w:rFonts w:eastAsia="Calibri" w:cs="Times New Roman"/>
          <w:bCs/>
          <w:color w:val="000000" w:themeColor="text1"/>
          <w:szCs w:val="24"/>
        </w:rPr>
        <w:t xml:space="preserve"> kunne</w:t>
      </w:r>
      <w:r w:rsidR="00DC4636" w:rsidRPr="00815B3E">
        <w:rPr>
          <w:rFonts w:eastAsia="Calibri" w:cs="Times New Roman"/>
          <w:bCs/>
          <w:color w:val="000000" w:themeColor="text1"/>
          <w:szCs w:val="24"/>
        </w:rPr>
        <w:t xml:space="preserve"> fremføres til et senere indkomstår, i</w:t>
      </w:r>
      <w:r w:rsidR="005A310C" w:rsidRPr="00815B3E">
        <w:rPr>
          <w:rFonts w:eastAsia="Calibri" w:cs="Times New Roman"/>
          <w:bCs/>
          <w:color w:val="000000" w:themeColor="text1"/>
          <w:szCs w:val="24"/>
        </w:rPr>
        <w:t xml:space="preserve"> </w:t>
      </w:r>
      <w:r w:rsidR="00DC4636" w:rsidRPr="00815B3E">
        <w:rPr>
          <w:rFonts w:eastAsia="Calibri" w:cs="Times New Roman"/>
          <w:bCs/>
          <w:color w:val="000000" w:themeColor="text1"/>
          <w:szCs w:val="24"/>
        </w:rPr>
        <w:t xml:space="preserve">det omfang den ikke kan rummes i et tidligere års tab. </w:t>
      </w:r>
    </w:p>
    <w:p w14:paraId="557ED428" w14:textId="716612FB" w:rsidR="00DC4636" w:rsidRPr="00815B3E" w:rsidRDefault="00F07481" w:rsidP="00981FEA">
      <w:pPr>
        <w:spacing w:after="240"/>
        <w:jc w:val="left"/>
        <w:rPr>
          <w:rFonts w:eastAsia="Calibri" w:cs="Times New Roman"/>
          <w:bCs/>
          <w:color w:val="000000" w:themeColor="text1"/>
          <w:szCs w:val="24"/>
        </w:rPr>
      </w:pPr>
      <w:r>
        <w:rPr>
          <w:rFonts w:eastAsia="Calibri" w:cs="Times New Roman"/>
          <w:bCs/>
          <w:color w:val="000000" w:themeColor="text1"/>
          <w:szCs w:val="24"/>
        </w:rPr>
        <w:t xml:space="preserve">Det foreslås </w:t>
      </w:r>
      <w:r w:rsidRPr="00613864">
        <w:rPr>
          <w:rFonts w:eastAsia="Calibri" w:cs="Times New Roman"/>
          <w:bCs/>
          <w:i/>
          <w:iCs/>
          <w:color w:val="000000" w:themeColor="text1"/>
          <w:szCs w:val="24"/>
        </w:rPr>
        <w:t xml:space="preserve">i </w:t>
      </w:r>
      <w:r>
        <w:rPr>
          <w:rFonts w:eastAsia="Calibri" w:cs="Times New Roman"/>
          <w:bCs/>
          <w:i/>
          <w:iCs/>
          <w:color w:val="000000" w:themeColor="text1"/>
          <w:szCs w:val="24"/>
        </w:rPr>
        <w:t>5</w:t>
      </w:r>
      <w:r w:rsidRPr="00613864">
        <w:rPr>
          <w:rFonts w:eastAsia="Calibri" w:cs="Times New Roman"/>
          <w:bCs/>
          <w:i/>
          <w:iCs/>
          <w:color w:val="000000" w:themeColor="text1"/>
          <w:szCs w:val="24"/>
        </w:rPr>
        <w:t>. pkt</w:t>
      </w:r>
      <w:r>
        <w:rPr>
          <w:rFonts w:eastAsia="Calibri" w:cs="Times New Roman"/>
          <w:bCs/>
          <w:color w:val="000000" w:themeColor="text1"/>
          <w:szCs w:val="24"/>
        </w:rPr>
        <w:t xml:space="preserve">., at </w:t>
      </w:r>
      <w:r w:rsidR="007C7BC5">
        <w:rPr>
          <w:rFonts w:eastAsia="Calibri" w:cs="Times New Roman"/>
          <w:bCs/>
          <w:color w:val="000000" w:themeColor="text1"/>
          <w:szCs w:val="24"/>
        </w:rPr>
        <w:t>h</w:t>
      </w:r>
      <w:r w:rsidR="00DC4636" w:rsidRPr="00815B3E">
        <w:rPr>
          <w:rFonts w:eastAsia="Calibri" w:cs="Times New Roman"/>
          <w:bCs/>
          <w:color w:val="000000" w:themeColor="text1"/>
          <w:szCs w:val="24"/>
        </w:rPr>
        <w:t>vis saldoen fortsa</w:t>
      </w:r>
      <w:r w:rsidR="005A310C" w:rsidRPr="00815B3E">
        <w:rPr>
          <w:rFonts w:eastAsia="Calibri" w:cs="Times New Roman"/>
          <w:bCs/>
          <w:color w:val="000000" w:themeColor="text1"/>
          <w:szCs w:val="24"/>
        </w:rPr>
        <w:t xml:space="preserve">t </w:t>
      </w:r>
      <w:r w:rsidR="00DC4636" w:rsidRPr="00815B3E">
        <w:rPr>
          <w:rFonts w:eastAsia="Calibri" w:cs="Times New Roman"/>
          <w:bCs/>
          <w:color w:val="000000" w:themeColor="text1"/>
          <w:szCs w:val="24"/>
        </w:rPr>
        <w:t xml:space="preserve">er positiv efter afståelse af ejendommen, </w:t>
      </w:r>
      <w:r w:rsidR="00225098" w:rsidRPr="00815B3E">
        <w:rPr>
          <w:rFonts w:eastAsia="Calibri" w:cs="Times New Roman"/>
          <w:bCs/>
          <w:color w:val="000000" w:themeColor="text1"/>
          <w:szCs w:val="24"/>
        </w:rPr>
        <w:t xml:space="preserve">vil </w:t>
      </w:r>
      <w:r w:rsidR="00DC4636" w:rsidRPr="00815B3E">
        <w:rPr>
          <w:rFonts w:eastAsia="Calibri" w:cs="Times New Roman"/>
          <w:bCs/>
          <w:color w:val="000000" w:themeColor="text1"/>
          <w:szCs w:val="24"/>
        </w:rPr>
        <w:t>et beløb svarende til</w:t>
      </w:r>
      <w:r w:rsidR="005A310C" w:rsidRPr="00815B3E">
        <w:rPr>
          <w:rFonts w:eastAsia="Calibri" w:cs="Times New Roman"/>
          <w:bCs/>
          <w:color w:val="000000" w:themeColor="text1"/>
          <w:szCs w:val="24"/>
        </w:rPr>
        <w:t xml:space="preserve"> </w:t>
      </w:r>
      <w:r w:rsidR="00DC4636" w:rsidRPr="00815B3E">
        <w:rPr>
          <w:rFonts w:eastAsia="Calibri" w:cs="Times New Roman"/>
          <w:bCs/>
          <w:color w:val="000000" w:themeColor="text1"/>
          <w:szCs w:val="24"/>
        </w:rPr>
        <w:t xml:space="preserve">den positive restsaldo </w:t>
      </w:r>
      <w:r w:rsidR="00225098" w:rsidRPr="00815B3E">
        <w:rPr>
          <w:rFonts w:eastAsia="Calibri" w:cs="Times New Roman"/>
          <w:bCs/>
          <w:color w:val="000000" w:themeColor="text1"/>
          <w:szCs w:val="24"/>
        </w:rPr>
        <w:t xml:space="preserve">skulle medregnes </w:t>
      </w:r>
      <w:r w:rsidR="00DC4636" w:rsidRPr="00815B3E">
        <w:rPr>
          <w:rFonts w:eastAsia="Calibri" w:cs="Times New Roman"/>
          <w:bCs/>
          <w:color w:val="000000" w:themeColor="text1"/>
          <w:szCs w:val="24"/>
        </w:rPr>
        <w:t>ved opgørelsen af den skattepligtige indkomst i</w:t>
      </w:r>
      <w:r w:rsidR="005A310C" w:rsidRPr="00815B3E">
        <w:rPr>
          <w:rFonts w:eastAsia="Calibri" w:cs="Times New Roman"/>
          <w:bCs/>
          <w:color w:val="000000" w:themeColor="text1"/>
          <w:szCs w:val="24"/>
        </w:rPr>
        <w:t xml:space="preserve"> </w:t>
      </w:r>
      <w:r w:rsidR="00DC4636" w:rsidRPr="00815B3E">
        <w:rPr>
          <w:rFonts w:eastAsia="Calibri" w:cs="Times New Roman"/>
          <w:bCs/>
          <w:color w:val="000000" w:themeColor="text1"/>
          <w:szCs w:val="24"/>
        </w:rPr>
        <w:t>afståelsesåret.</w:t>
      </w:r>
    </w:p>
    <w:p w14:paraId="2C2B2C91" w14:textId="5E187740" w:rsidR="00FB1649" w:rsidRPr="00815B3E" w:rsidRDefault="00FB1649" w:rsidP="00FB1649">
      <w:pPr>
        <w:spacing w:after="240"/>
        <w:jc w:val="left"/>
        <w:rPr>
          <w:rFonts w:eastAsia="Calibri" w:cs="Times New Roman"/>
          <w:bCs/>
          <w:color w:val="000000" w:themeColor="text1"/>
          <w:szCs w:val="24"/>
        </w:rPr>
      </w:pPr>
      <w:r w:rsidRPr="00815B3E">
        <w:rPr>
          <w:rFonts w:eastAsia="Calibri" w:cs="Times New Roman"/>
          <w:bCs/>
          <w:color w:val="000000" w:themeColor="text1"/>
          <w:szCs w:val="24"/>
        </w:rPr>
        <w:t xml:space="preserve">Den foreslåede bestemmelse i ejendomsavancebeskatningslovens § 14 D, stk. 2, vedrører således det scenarie, hvor summen af genvundne afskrivninger og ejendomsavance for perioden fra ejendommens anskaffelsestidspunkt indtil ejendommens overgang fra realisationsbeskatning til lagerbeskatning er positiv. </w:t>
      </w:r>
    </w:p>
    <w:p w14:paraId="0AD5A718" w14:textId="198C538E" w:rsidR="00225098" w:rsidRPr="00815B3E" w:rsidRDefault="00225098" w:rsidP="00981FEA">
      <w:pPr>
        <w:spacing w:after="240"/>
        <w:jc w:val="left"/>
        <w:rPr>
          <w:rFonts w:eastAsia="Calibri" w:cs="Times New Roman"/>
          <w:bCs/>
          <w:color w:val="000000" w:themeColor="text1"/>
          <w:szCs w:val="24"/>
        </w:rPr>
      </w:pPr>
      <w:r w:rsidRPr="00815B3E">
        <w:rPr>
          <w:rFonts w:eastAsia="Calibri" w:cs="Times New Roman"/>
          <w:bCs/>
          <w:color w:val="000000" w:themeColor="text1"/>
          <w:szCs w:val="24"/>
        </w:rPr>
        <w:t xml:space="preserve">Den foreslåede § 14 D, stk. 2, indebærer, at et fremtidigt tab på en ejendom efter lagerprincippet ikke vil kunne fratrækkes, </w:t>
      </w:r>
      <w:r w:rsidR="00FB1649" w:rsidRPr="00815B3E">
        <w:rPr>
          <w:rFonts w:eastAsia="Calibri" w:cs="Times New Roman"/>
          <w:bCs/>
          <w:color w:val="000000" w:themeColor="text1"/>
          <w:szCs w:val="24"/>
        </w:rPr>
        <w:t xml:space="preserve">så længe der </w:t>
      </w:r>
      <w:r w:rsidRPr="00815B3E">
        <w:rPr>
          <w:rFonts w:eastAsia="Calibri" w:cs="Times New Roman"/>
          <w:bCs/>
          <w:color w:val="000000" w:themeColor="text1"/>
          <w:szCs w:val="24"/>
        </w:rPr>
        <w:t>eksisterer en positiv realisationssaldo for ejendommen</w:t>
      </w:r>
      <w:r w:rsidR="00FB1649" w:rsidRPr="00815B3E">
        <w:rPr>
          <w:rFonts w:eastAsia="Calibri" w:cs="Times New Roman"/>
          <w:bCs/>
          <w:color w:val="000000" w:themeColor="text1"/>
          <w:szCs w:val="24"/>
        </w:rPr>
        <w:t xml:space="preserve">, dvs. hvis der hviler en </w:t>
      </w:r>
      <w:proofErr w:type="spellStart"/>
      <w:r w:rsidR="00FB1649" w:rsidRPr="00815B3E">
        <w:rPr>
          <w:rFonts w:eastAsia="Calibri" w:cs="Times New Roman"/>
          <w:bCs/>
          <w:color w:val="000000" w:themeColor="text1"/>
          <w:szCs w:val="24"/>
        </w:rPr>
        <w:t>urealiseret</w:t>
      </w:r>
      <w:proofErr w:type="spellEnd"/>
      <w:r w:rsidR="00FB1649" w:rsidRPr="00815B3E">
        <w:rPr>
          <w:rFonts w:eastAsia="Calibri" w:cs="Times New Roman"/>
          <w:bCs/>
          <w:color w:val="000000" w:themeColor="text1"/>
          <w:szCs w:val="24"/>
        </w:rPr>
        <w:t xml:space="preserve"> gevinst på ejendommen</w:t>
      </w:r>
      <w:r w:rsidRPr="00815B3E">
        <w:rPr>
          <w:rFonts w:eastAsia="Calibri" w:cs="Times New Roman"/>
          <w:bCs/>
          <w:color w:val="000000" w:themeColor="text1"/>
          <w:szCs w:val="24"/>
        </w:rPr>
        <w:t xml:space="preserve">. Med bestemmelsen foreslås det således at begrænse fradragsretten til fremtidige tab efter den foreslåede lagerbeskatning således, at tab kun vil kunne fratrækkes, i det omfang tidligere opgjorte </w:t>
      </w:r>
      <w:proofErr w:type="spellStart"/>
      <w:r w:rsidRPr="00815B3E">
        <w:rPr>
          <w:rFonts w:eastAsia="Calibri" w:cs="Times New Roman"/>
          <w:bCs/>
          <w:color w:val="000000" w:themeColor="text1"/>
          <w:szCs w:val="24"/>
        </w:rPr>
        <w:t>urealiserede</w:t>
      </w:r>
      <w:proofErr w:type="spellEnd"/>
      <w:r w:rsidRPr="00815B3E">
        <w:rPr>
          <w:rFonts w:eastAsia="Calibri" w:cs="Times New Roman"/>
          <w:bCs/>
          <w:color w:val="000000" w:themeColor="text1"/>
          <w:szCs w:val="24"/>
        </w:rPr>
        <w:t xml:space="preserve"> gevinster er modregnet. </w:t>
      </w:r>
    </w:p>
    <w:p w14:paraId="205D33AE" w14:textId="73F310E8" w:rsidR="00225098" w:rsidRPr="00815B3E" w:rsidRDefault="00225098" w:rsidP="00981FEA">
      <w:pPr>
        <w:spacing w:after="240"/>
        <w:jc w:val="left"/>
        <w:rPr>
          <w:rFonts w:eastAsia="Calibri" w:cs="Times New Roman"/>
          <w:bCs/>
          <w:color w:val="000000" w:themeColor="text1"/>
          <w:szCs w:val="24"/>
        </w:rPr>
      </w:pPr>
      <w:r w:rsidRPr="00815B3E">
        <w:rPr>
          <w:rFonts w:eastAsia="Calibri" w:cs="Times New Roman"/>
          <w:bCs/>
          <w:color w:val="000000" w:themeColor="text1"/>
          <w:szCs w:val="24"/>
        </w:rPr>
        <w:t xml:space="preserve">Baggrunden er, at det findes rimeligt, at der ikke </w:t>
      </w:r>
      <w:r w:rsidR="00F07481">
        <w:rPr>
          <w:rFonts w:eastAsia="Calibri" w:cs="Times New Roman"/>
          <w:bCs/>
          <w:color w:val="000000" w:themeColor="text1"/>
          <w:szCs w:val="24"/>
        </w:rPr>
        <w:t>skal kunne</w:t>
      </w:r>
      <w:r w:rsidRPr="00815B3E">
        <w:rPr>
          <w:rFonts w:eastAsia="Calibri" w:cs="Times New Roman"/>
          <w:bCs/>
          <w:color w:val="000000" w:themeColor="text1"/>
          <w:szCs w:val="24"/>
        </w:rPr>
        <w:t xml:space="preserve"> foretages fradrag for værdinedgang på en ejendom efter det foreslåede lagerprincip, så længe der samlet set over ejertiden har været gevinst på ejendommen. Den foreslåede begrænsning i tabsfradraget antages at udgøre et vist værn imod</w:t>
      </w:r>
      <w:r w:rsidR="008D719E" w:rsidRPr="00815B3E">
        <w:rPr>
          <w:rFonts w:eastAsia="Calibri" w:cs="Times New Roman"/>
          <w:bCs/>
          <w:color w:val="000000" w:themeColor="text1"/>
          <w:szCs w:val="24"/>
        </w:rPr>
        <w:t xml:space="preserve"> tilskyndelsen til at fastsætte for høje indgangsværdier ved overgangen til lagerbeskatning.</w:t>
      </w:r>
    </w:p>
    <w:p w14:paraId="0A7EE54F" w14:textId="6DBA779F" w:rsidR="00FB1649" w:rsidRPr="00815B3E" w:rsidRDefault="008B6787" w:rsidP="00981FEA">
      <w:pPr>
        <w:spacing w:after="240"/>
        <w:jc w:val="left"/>
        <w:rPr>
          <w:rFonts w:eastAsia="Calibri" w:cs="Times New Roman"/>
          <w:bCs/>
          <w:color w:val="000000" w:themeColor="text1"/>
          <w:szCs w:val="24"/>
        </w:rPr>
      </w:pPr>
      <w:r w:rsidRPr="00815B3E">
        <w:rPr>
          <w:rFonts w:eastAsia="Calibri" w:cs="Times New Roman"/>
          <w:bCs/>
          <w:color w:val="000000" w:themeColor="text1"/>
          <w:szCs w:val="24"/>
        </w:rPr>
        <w:t>En positiv realisationssaldo</w:t>
      </w:r>
      <w:r w:rsidR="008D719E" w:rsidRPr="00815B3E">
        <w:rPr>
          <w:rFonts w:eastAsia="Calibri" w:cs="Times New Roman"/>
          <w:bCs/>
          <w:color w:val="000000" w:themeColor="text1"/>
          <w:szCs w:val="24"/>
        </w:rPr>
        <w:t xml:space="preserve"> vil </w:t>
      </w:r>
      <w:r w:rsidRPr="00815B3E">
        <w:rPr>
          <w:rFonts w:eastAsia="Calibri" w:cs="Times New Roman"/>
          <w:bCs/>
          <w:color w:val="000000" w:themeColor="text1"/>
          <w:szCs w:val="24"/>
        </w:rPr>
        <w:t xml:space="preserve">altid </w:t>
      </w:r>
      <w:r w:rsidR="008D719E" w:rsidRPr="00815B3E">
        <w:rPr>
          <w:rFonts w:eastAsia="Calibri" w:cs="Times New Roman"/>
          <w:bCs/>
          <w:color w:val="000000" w:themeColor="text1"/>
          <w:szCs w:val="24"/>
        </w:rPr>
        <w:t xml:space="preserve">skulle </w:t>
      </w:r>
      <w:r w:rsidRPr="00815B3E">
        <w:rPr>
          <w:rFonts w:eastAsia="Calibri" w:cs="Times New Roman"/>
          <w:bCs/>
          <w:color w:val="000000" w:themeColor="text1"/>
          <w:szCs w:val="24"/>
        </w:rPr>
        <w:t>fremføres til efterfølgende indkomstår, såfremt den ikke kan rummes i et tidligere års tab på ejendommen</w:t>
      </w:r>
      <w:r w:rsidR="008D719E" w:rsidRPr="00815B3E">
        <w:rPr>
          <w:rFonts w:eastAsia="Calibri" w:cs="Times New Roman"/>
          <w:bCs/>
          <w:color w:val="000000" w:themeColor="text1"/>
          <w:szCs w:val="24"/>
        </w:rPr>
        <w:t>, hvorefter</w:t>
      </w:r>
      <w:r w:rsidR="00AC7CAB" w:rsidRPr="00815B3E">
        <w:rPr>
          <w:rFonts w:eastAsia="Calibri" w:cs="Times New Roman"/>
          <w:bCs/>
          <w:color w:val="000000" w:themeColor="text1"/>
          <w:szCs w:val="24"/>
        </w:rPr>
        <w:t xml:space="preserve"> </w:t>
      </w:r>
      <w:r w:rsidR="008D719E" w:rsidRPr="00815B3E">
        <w:rPr>
          <w:rFonts w:eastAsia="Calibri" w:cs="Times New Roman"/>
          <w:bCs/>
          <w:color w:val="000000" w:themeColor="text1"/>
          <w:szCs w:val="24"/>
        </w:rPr>
        <w:t xml:space="preserve">den resterende positive </w:t>
      </w:r>
      <w:r w:rsidR="00AC7CAB" w:rsidRPr="00815B3E">
        <w:rPr>
          <w:rFonts w:eastAsia="Calibri" w:cs="Times New Roman"/>
          <w:bCs/>
          <w:color w:val="000000" w:themeColor="text1"/>
          <w:szCs w:val="24"/>
        </w:rPr>
        <w:t>saldo</w:t>
      </w:r>
      <w:r w:rsidR="008D719E" w:rsidRPr="00815B3E">
        <w:rPr>
          <w:rFonts w:eastAsia="Calibri" w:cs="Times New Roman"/>
          <w:bCs/>
          <w:color w:val="000000" w:themeColor="text1"/>
          <w:szCs w:val="24"/>
        </w:rPr>
        <w:t xml:space="preserve"> vil skulle modregnes i efterfølgende års eventuelle</w:t>
      </w:r>
      <w:r w:rsidR="00AC7CAB" w:rsidRPr="00815B3E">
        <w:rPr>
          <w:rFonts w:eastAsia="Calibri" w:cs="Times New Roman"/>
          <w:bCs/>
          <w:color w:val="000000" w:themeColor="text1"/>
          <w:szCs w:val="24"/>
        </w:rPr>
        <w:t xml:space="preserve"> tab. </w:t>
      </w:r>
    </w:p>
    <w:p w14:paraId="233F14EF" w14:textId="6E7C6974" w:rsidR="00FA5729" w:rsidRPr="00AA527C" w:rsidRDefault="00FA5729" w:rsidP="00FA5729">
      <w:pPr>
        <w:spacing w:after="240"/>
        <w:jc w:val="left"/>
        <w:rPr>
          <w:rFonts w:eastAsia="Calibri" w:cs="Times New Roman"/>
          <w:bCs/>
          <w:color w:val="000000" w:themeColor="text1"/>
          <w:szCs w:val="24"/>
        </w:rPr>
      </w:pPr>
      <w:r>
        <w:rPr>
          <w:rFonts w:eastAsia="Calibri" w:cs="Times New Roman"/>
          <w:bCs/>
          <w:color w:val="000000" w:themeColor="text1"/>
          <w:szCs w:val="24"/>
        </w:rPr>
        <w:t>Det foreslås, at s</w:t>
      </w:r>
      <w:r w:rsidRPr="00AA527C">
        <w:rPr>
          <w:rFonts w:eastAsia="Calibri" w:cs="Times New Roman"/>
          <w:bCs/>
          <w:color w:val="000000" w:themeColor="text1"/>
          <w:szCs w:val="24"/>
        </w:rPr>
        <w:t xml:space="preserve">ælges ejendommen på et tidspunkt, hvor saldoen fortsat er positiv, så </w:t>
      </w:r>
      <w:r>
        <w:rPr>
          <w:rFonts w:eastAsia="Calibri" w:cs="Times New Roman"/>
          <w:bCs/>
          <w:color w:val="000000" w:themeColor="text1"/>
          <w:szCs w:val="24"/>
        </w:rPr>
        <w:t>vil en ev</w:t>
      </w:r>
      <w:r w:rsidR="009B4206">
        <w:rPr>
          <w:rFonts w:eastAsia="Calibri" w:cs="Times New Roman"/>
          <w:bCs/>
          <w:color w:val="000000" w:themeColor="text1"/>
          <w:szCs w:val="24"/>
        </w:rPr>
        <w:t>entuel</w:t>
      </w:r>
      <w:r>
        <w:rPr>
          <w:rFonts w:eastAsia="Calibri" w:cs="Times New Roman"/>
          <w:bCs/>
          <w:color w:val="000000" w:themeColor="text1"/>
          <w:szCs w:val="24"/>
        </w:rPr>
        <w:t xml:space="preserve"> resterende positiv </w:t>
      </w:r>
      <w:r w:rsidRPr="00AA527C">
        <w:rPr>
          <w:rFonts w:eastAsia="Calibri" w:cs="Times New Roman"/>
          <w:bCs/>
          <w:color w:val="000000" w:themeColor="text1"/>
          <w:szCs w:val="24"/>
        </w:rPr>
        <w:t>restsaldo</w:t>
      </w:r>
      <w:r>
        <w:rPr>
          <w:rFonts w:eastAsia="Calibri" w:cs="Times New Roman"/>
          <w:bCs/>
          <w:color w:val="000000" w:themeColor="text1"/>
          <w:szCs w:val="24"/>
        </w:rPr>
        <w:t xml:space="preserve"> skulle beskattes</w:t>
      </w:r>
      <w:r w:rsidR="00344F80">
        <w:rPr>
          <w:rFonts w:eastAsia="Calibri" w:cs="Times New Roman"/>
          <w:bCs/>
          <w:color w:val="000000" w:themeColor="text1"/>
          <w:szCs w:val="24"/>
        </w:rPr>
        <w:t xml:space="preserve">, idet </w:t>
      </w:r>
      <w:r w:rsidR="00465BC6">
        <w:rPr>
          <w:rFonts w:eastAsia="Calibri" w:cs="Times New Roman"/>
          <w:bCs/>
          <w:color w:val="000000" w:themeColor="text1"/>
          <w:szCs w:val="24"/>
        </w:rPr>
        <w:lastRenderedPageBreak/>
        <w:t xml:space="preserve">et </w:t>
      </w:r>
      <w:r w:rsidRPr="00AA527C">
        <w:rPr>
          <w:rFonts w:eastAsia="Calibri" w:cs="Times New Roman"/>
          <w:bCs/>
          <w:color w:val="000000" w:themeColor="text1"/>
          <w:szCs w:val="24"/>
        </w:rPr>
        <w:t>beløb svarende til den positive restsaldo vil skulle</w:t>
      </w:r>
      <w:r w:rsidR="00344F80">
        <w:rPr>
          <w:rFonts w:eastAsia="Calibri" w:cs="Times New Roman"/>
          <w:bCs/>
          <w:color w:val="000000" w:themeColor="text1"/>
          <w:szCs w:val="24"/>
        </w:rPr>
        <w:t xml:space="preserve"> anses for realiseret og</w:t>
      </w:r>
      <w:r w:rsidRPr="00AA527C">
        <w:rPr>
          <w:rFonts w:eastAsia="Calibri" w:cs="Times New Roman"/>
          <w:bCs/>
          <w:color w:val="000000" w:themeColor="text1"/>
          <w:szCs w:val="24"/>
        </w:rPr>
        <w:t xml:space="preserve"> medregnes ved opgørelsen af den skattepligtige indkomst i salgsåret. </w:t>
      </w:r>
    </w:p>
    <w:p w14:paraId="2DE85DBD" w14:textId="4EDC7982" w:rsidR="00AC7CAB" w:rsidRPr="00815B3E" w:rsidRDefault="00AC7CAB" w:rsidP="00981FEA">
      <w:pPr>
        <w:spacing w:after="240"/>
        <w:jc w:val="left"/>
        <w:rPr>
          <w:rFonts w:eastAsia="Calibri" w:cs="Times New Roman"/>
          <w:bCs/>
          <w:color w:val="000000" w:themeColor="text1"/>
          <w:szCs w:val="24"/>
        </w:rPr>
      </w:pPr>
      <w:r w:rsidRPr="00815B3E">
        <w:rPr>
          <w:rFonts w:eastAsia="Calibri" w:cs="Times New Roman"/>
          <w:bCs/>
          <w:color w:val="000000" w:themeColor="text1"/>
          <w:szCs w:val="24"/>
        </w:rPr>
        <w:t>I eksemp</w:t>
      </w:r>
      <w:r w:rsidR="00F07481">
        <w:rPr>
          <w:rFonts w:eastAsia="Calibri" w:cs="Times New Roman"/>
          <w:bCs/>
          <w:color w:val="000000" w:themeColor="text1"/>
          <w:szCs w:val="24"/>
        </w:rPr>
        <w:t>let i tabel 2</w:t>
      </w:r>
      <w:r w:rsidR="00C62C69" w:rsidRPr="00815B3E">
        <w:rPr>
          <w:rFonts w:eastAsia="Calibri" w:cs="Times New Roman"/>
          <w:bCs/>
          <w:color w:val="000000" w:themeColor="text1"/>
          <w:szCs w:val="24"/>
        </w:rPr>
        <w:t>nedenfor</w:t>
      </w:r>
      <w:r w:rsidRPr="00815B3E">
        <w:rPr>
          <w:rFonts w:eastAsia="Calibri" w:cs="Times New Roman"/>
          <w:bCs/>
          <w:color w:val="000000" w:themeColor="text1"/>
          <w:szCs w:val="24"/>
        </w:rPr>
        <w:t xml:space="preserve"> er ejendommen anskaffet for</w:t>
      </w:r>
      <w:r w:rsidR="00ED560B" w:rsidRPr="00815B3E">
        <w:rPr>
          <w:rFonts w:eastAsia="Calibri" w:cs="Times New Roman"/>
          <w:bCs/>
          <w:color w:val="000000" w:themeColor="text1"/>
          <w:szCs w:val="24"/>
        </w:rPr>
        <w:t xml:space="preserve"> mange år siden. E</w:t>
      </w:r>
      <w:r w:rsidRPr="00815B3E">
        <w:rPr>
          <w:rFonts w:eastAsia="Calibri" w:cs="Times New Roman"/>
          <w:bCs/>
          <w:color w:val="000000" w:themeColor="text1"/>
          <w:szCs w:val="24"/>
        </w:rPr>
        <w:t xml:space="preserve">jendommens handelsværdi </w:t>
      </w:r>
      <w:r w:rsidR="00465BC6">
        <w:rPr>
          <w:rFonts w:eastAsia="Calibri" w:cs="Times New Roman"/>
          <w:bCs/>
          <w:color w:val="000000" w:themeColor="text1"/>
          <w:szCs w:val="24"/>
        </w:rPr>
        <w:t xml:space="preserve">er </w:t>
      </w:r>
      <w:r w:rsidRPr="00815B3E">
        <w:rPr>
          <w:rFonts w:eastAsia="Calibri" w:cs="Times New Roman"/>
          <w:bCs/>
          <w:color w:val="000000" w:themeColor="text1"/>
          <w:szCs w:val="24"/>
        </w:rPr>
        <w:t xml:space="preserve">på tidspunktet for overgang fra realisationsbeskatning til lagerbeskatning på 120 mio. kr. </w:t>
      </w:r>
      <w:r w:rsidR="00C62C69" w:rsidRPr="00815B3E">
        <w:rPr>
          <w:rFonts w:eastAsia="Calibri" w:cs="Times New Roman"/>
          <w:bCs/>
          <w:color w:val="000000" w:themeColor="text1"/>
          <w:szCs w:val="24"/>
        </w:rPr>
        <w:t xml:space="preserve">På overgangstidspunkt kan </w:t>
      </w:r>
      <w:r w:rsidR="00ED560B" w:rsidRPr="00815B3E">
        <w:rPr>
          <w:rFonts w:eastAsia="Calibri" w:cs="Times New Roman"/>
          <w:bCs/>
          <w:color w:val="000000" w:themeColor="text1"/>
          <w:szCs w:val="24"/>
        </w:rPr>
        <w:t xml:space="preserve">genvundne afskrivninger </w:t>
      </w:r>
      <w:r w:rsidR="00C62C69" w:rsidRPr="00815B3E">
        <w:rPr>
          <w:rFonts w:eastAsia="Calibri" w:cs="Times New Roman"/>
          <w:bCs/>
          <w:color w:val="000000" w:themeColor="text1"/>
          <w:szCs w:val="24"/>
        </w:rPr>
        <w:t>opgøres til 1</w:t>
      </w:r>
      <w:r w:rsidR="00ED560B" w:rsidRPr="00815B3E">
        <w:rPr>
          <w:rFonts w:eastAsia="Calibri" w:cs="Times New Roman"/>
          <w:bCs/>
          <w:color w:val="000000" w:themeColor="text1"/>
          <w:szCs w:val="24"/>
        </w:rPr>
        <w:t>0 mio. kr. og ejendomsavance</w:t>
      </w:r>
      <w:r w:rsidR="00C62C69" w:rsidRPr="00815B3E">
        <w:rPr>
          <w:rFonts w:eastAsia="Calibri" w:cs="Times New Roman"/>
          <w:bCs/>
          <w:color w:val="000000" w:themeColor="text1"/>
          <w:szCs w:val="24"/>
        </w:rPr>
        <w:t>n kan opgøres til</w:t>
      </w:r>
      <w:r w:rsidR="00ED560B" w:rsidRPr="00815B3E">
        <w:rPr>
          <w:rFonts w:eastAsia="Calibri" w:cs="Times New Roman"/>
          <w:bCs/>
          <w:color w:val="000000" w:themeColor="text1"/>
          <w:szCs w:val="24"/>
        </w:rPr>
        <w:t xml:space="preserve"> 50 mio. kr., så</w:t>
      </w:r>
      <w:r w:rsidR="00FA5729">
        <w:rPr>
          <w:rFonts w:eastAsia="Calibri" w:cs="Times New Roman"/>
          <w:bCs/>
          <w:color w:val="000000" w:themeColor="text1"/>
          <w:szCs w:val="24"/>
        </w:rPr>
        <w:t>ledes at</w:t>
      </w:r>
      <w:r w:rsidR="00ED560B" w:rsidRPr="00815B3E">
        <w:rPr>
          <w:rFonts w:eastAsia="Calibri" w:cs="Times New Roman"/>
          <w:bCs/>
          <w:color w:val="000000" w:themeColor="text1"/>
          <w:szCs w:val="24"/>
        </w:rPr>
        <w:t xml:space="preserve"> der opgøres en samlet positiv realisationssaldo på 60 mio. kr. ved overgang til lagerbeskatning. </w:t>
      </w:r>
      <w:r w:rsidR="00C62C69" w:rsidRPr="00815B3E">
        <w:rPr>
          <w:rFonts w:eastAsia="Calibri" w:cs="Times New Roman"/>
          <w:bCs/>
          <w:color w:val="000000" w:themeColor="text1"/>
          <w:szCs w:val="24"/>
        </w:rPr>
        <w:t xml:space="preserve">Ejendommen afstås i </w:t>
      </w:r>
      <w:r w:rsidR="009549E3" w:rsidRPr="00815B3E">
        <w:rPr>
          <w:rFonts w:eastAsia="Calibri" w:cs="Times New Roman"/>
          <w:bCs/>
          <w:color w:val="000000" w:themeColor="text1"/>
          <w:szCs w:val="24"/>
        </w:rPr>
        <w:t>202</w:t>
      </w:r>
      <w:r w:rsidR="009549E3">
        <w:rPr>
          <w:rFonts w:eastAsia="Calibri" w:cs="Times New Roman"/>
          <w:bCs/>
          <w:color w:val="000000" w:themeColor="text1"/>
          <w:szCs w:val="24"/>
        </w:rPr>
        <w:t>7</w:t>
      </w:r>
      <w:r w:rsidR="00C62C69" w:rsidRPr="00815B3E">
        <w:rPr>
          <w:rFonts w:eastAsia="Calibri" w:cs="Times New Roman"/>
          <w:bCs/>
          <w:color w:val="000000" w:themeColor="text1"/>
          <w:szCs w:val="24"/>
        </w:rPr>
        <w:t>.</w:t>
      </w:r>
    </w:p>
    <w:p w14:paraId="33A2EC54" w14:textId="7B2E5959" w:rsidR="00AC7CAB" w:rsidRPr="00815B3E" w:rsidRDefault="00AC7CAB" w:rsidP="00981FEA">
      <w:pPr>
        <w:spacing w:after="240"/>
        <w:jc w:val="left"/>
        <w:rPr>
          <w:rFonts w:eastAsia="Calibri" w:cs="Times New Roman"/>
          <w:b/>
          <w:color w:val="000000" w:themeColor="text1"/>
          <w:szCs w:val="24"/>
        </w:rPr>
      </w:pPr>
      <w:r w:rsidRPr="00815B3E">
        <w:rPr>
          <w:rFonts w:eastAsia="Calibri" w:cs="Times New Roman"/>
          <w:b/>
          <w:color w:val="000000" w:themeColor="text1"/>
          <w:szCs w:val="24"/>
        </w:rPr>
        <w:t xml:space="preserve">Tabel </w:t>
      </w:r>
      <w:r w:rsidR="00F07481">
        <w:rPr>
          <w:rFonts w:eastAsia="Calibri" w:cs="Times New Roman"/>
          <w:b/>
          <w:color w:val="000000" w:themeColor="text1"/>
          <w:szCs w:val="24"/>
        </w:rPr>
        <w:t>2</w:t>
      </w:r>
      <w:r w:rsidR="00F07481" w:rsidRPr="00815B3E">
        <w:rPr>
          <w:rFonts w:eastAsia="Calibri" w:cs="Times New Roman"/>
          <w:b/>
          <w:color w:val="000000" w:themeColor="text1"/>
          <w:szCs w:val="24"/>
        </w:rPr>
        <w:t xml:space="preserve"> </w:t>
      </w:r>
      <w:r w:rsidRPr="00815B3E">
        <w:rPr>
          <w:rFonts w:eastAsia="Calibri" w:cs="Times New Roman"/>
          <w:b/>
          <w:color w:val="000000" w:themeColor="text1"/>
          <w:szCs w:val="24"/>
        </w:rPr>
        <w:t xml:space="preserve">– </w:t>
      </w:r>
      <w:r w:rsidR="004650A8" w:rsidRPr="00815B3E">
        <w:rPr>
          <w:rFonts w:eastAsia="Calibri" w:cs="Times New Roman"/>
          <w:b/>
          <w:color w:val="000000" w:themeColor="text1"/>
          <w:szCs w:val="24"/>
        </w:rPr>
        <w:t>Behandling af gevinster og tab ved p</w:t>
      </w:r>
      <w:r w:rsidRPr="00815B3E">
        <w:rPr>
          <w:rFonts w:eastAsia="Calibri" w:cs="Times New Roman"/>
          <w:b/>
          <w:color w:val="000000" w:themeColor="text1"/>
          <w:szCs w:val="24"/>
        </w:rPr>
        <w:t>ositiv realisationssaldo</w:t>
      </w:r>
    </w:p>
    <w:tbl>
      <w:tblPr>
        <w:tblW w:w="7101" w:type="dxa"/>
        <w:tblCellMar>
          <w:left w:w="70" w:type="dxa"/>
          <w:right w:w="70" w:type="dxa"/>
        </w:tblCellMar>
        <w:tblLook w:val="04A0" w:firstRow="1" w:lastRow="0" w:firstColumn="1" w:lastColumn="0" w:noHBand="0" w:noVBand="1"/>
      </w:tblPr>
      <w:tblGrid>
        <w:gridCol w:w="1985"/>
        <w:gridCol w:w="1276"/>
        <w:gridCol w:w="960"/>
        <w:gridCol w:w="960"/>
        <w:gridCol w:w="960"/>
        <w:gridCol w:w="960"/>
      </w:tblGrid>
      <w:tr w:rsidR="00891FF7" w:rsidRPr="00A82BB0" w14:paraId="67E1BA08" w14:textId="77777777" w:rsidTr="00813769">
        <w:trPr>
          <w:trHeight w:val="300"/>
        </w:trPr>
        <w:tc>
          <w:tcPr>
            <w:tcW w:w="1985" w:type="dxa"/>
            <w:tcBorders>
              <w:top w:val="nil"/>
              <w:left w:val="nil"/>
              <w:right w:val="single" w:sz="4" w:space="0" w:color="auto"/>
            </w:tcBorders>
            <w:shd w:val="clear" w:color="auto" w:fill="auto"/>
            <w:noWrap/>
            <w:vAlign w:val="bottom"/>
            <w:hideMark/>
          </w:tcPr>
          <w:p w14:paraId="34A2D7BC" w14:textId="77777777" w:rsidR="00891FF7" w:rsidRPr="00A82BB0" w:rsidRDefault="00891FF7" w:rsidP="004A304E">
            <w:pPr>
              <w:spacing w:line="240" w:lineRule="auto"/>
              <w:jc w:val="left"/>
              <w:rPr>
                <w:rFonts w:eastAsia="Times New Roman" w:cs="Times New Roman"/>
                <w:color w:val="000000" w:themeColor="text1"/>
                <w:sz w:val="20"/>
                <w:szCs w:val="20"/>
                <w:lang w:eastAsia="da-DK"/>
              </w:rPr>
            </w:pPr>
          </w:p>
        </w:tc>
        <w:tc>
          <w:tcPr>
            <w:tcW w:w="1276" w:type="dxa"/>
            <w:tcBorders>
              <w:top w:val="nil"/>
              <w:left w:val="single" w:sz="4" w:space="0" w:color="auto"/>
              <w:right w:val="nil"/>
            </w:tcBorders>
            <w:shd w:val="clear" w:color="auto" w:fill="auto"/>
            <w:noWrap/>
            <w:vAlign w:val="bottom"/>
            <w:hideMark/>
          </w:tcPr>
          <w:p w14:paraId="663B1944" w14:textId="77777777" w:rsidR="00891FF7" w:rsidRPr="00813769" w:rsidRDefault="00891FF7" w:rsidP="004A304E">
            <w:pPr>
              <w:spacing w:line="240" w:lineRule="auto"/>
              <w:jc w:val="left"/>
              <w:rPr>
                <w:rFonts w:eastAsia="Times New Roman" w:cs="Times New Roman"/>
                <w:b/>
                <w:bCs/>
                <w:color w:val="000000" w:themeColor="text1"/>
                <w:sz w:val="20"/>
                <w:szCs w:val="20"/>
                <w:lang w:eastAsia="da-DK"/>
              </w:rPr>
            </w:pPr>
            <w:r w:rsidRPr="00813769">
              <w:rPr>
                <w:rFonts w:eastAsia="Times New Roman" w:cs="Times New Roman"/>
                <w:b/>
                <w:bCs/>
                <w:color w:val="000000" w:themeColor="text1"/>
                <w:sz w:val="20"/>
                <w:szCs w:val="20"/>
                <w:lang w:eastAsia="da-DK"/>
              </w:rPr>
              <w:t>Indkomstår</w:t>
            </w:r>
          </w:p>
        </w:tc>
        <w:tc>
          <w:tcPr>
            <w:tcW w:w="960" w:type="dxa"/>
            <w:tcBorders>
              <w:top w:val="nil"/>
              <w:left w:val="nil"/>
              <w:right w:val="nil"/>
            </w:tcBorders>
            <w:shd w:val="clear" w:color="auto" w:fill="auto"/>
            <w:noWrap/>
            <w:vAlign w:val="bottom"/>
            <w:hideMark/>
          </w:tcPr>
          <w:p w14:paraId="04453AF8" w14:textId="77777777" w:rsidR="00891FF7" w:rsidRPr="00813769" w:rsidRDefault="00891FF7" w:rsidP="004A304E">
            <w:pPr>
              <w:spacing w:line="240" w:lineRule="auto"/>
              <w:jc w:val="left"/>
              <w:rPr>
                <w:rFonts w:eastAsia="Times New Roman" w:cs="Times New Roman"/>
                <w:color w:val="000000" w:themeColor="text1"/>
                <w:sz w:val="20"/>
                <w:szCs w:val="20"/>
                <w:lang w:eastAsia="da-DK"/>
              </w:rPr>
            </w:pPr>
          </w:p>
        </w:tc>
        <w:tc>
          <w:tcPr>
            <w:tcW w:w="960" w:type="dxa"/>
            <w:tcBorders>
              <w:top w:val="nil"/>
              <w:left w:val="nil"/>
              <w:right w:val="nil"/>
            </w:tcBorders>
            <w:shd w:val="clear" w:color="auto" w:fill="auto"/>
            <w:noWrap/>
            <w:vAlign w:val="bottom"/>
            <w:hideMark/>
          </w:tcPr>
          <w:p w14:paraId="6EF3F9D5" w14:textId="77777777" w:rsidR="00891FF7" w:rsidRPr="00A82BB0" w:rsidRDefault="00891FF7" w:rsidP="004A304E">
            <w:pPr>
              <w:spacing w:line="240" w:lineRule="auto"/>
              <w:jc w:val="left"/>
              <w:rPr>
                <w:rFonts w:eastAsia="Times New Roman" w:cs="Times New Roman"/>
                <w:color w:val="000000" w:themeColor="text1"/>
                <w:sz w:val="20"/>
                <w:szCs w:val="20"/>
                <w:lang w:eastAsia="da-DK"/>
              </w:rPr>
            </w:pPr>
          </w:p>
        </w:tc>
        <w:tc>
          <w:tcPr>
            <w:tcW w:w="960" w:type="dxa"/>
            <w:tcBorders>
              <w:top w:val="nil"/>
              <w:left w:val="nil"/>
              <w:right w:val="nil"/>
            </w:tcBorders>
            <w:shd w:val="clear" w:color="auto" w:fill="auto"/>
            <w:noWrap/>
            <w:vAlign w:val="bottom"/>
            <w:hideMark/>
          </w:tcPr>
          <w:p w14:paraId="20C453FF" w14:textId="77777777" w:rsidR="00891FF7" w:rsidRPr="007D7B0D" w:rsidRDefault="00891FF7" w:rsidP="004A304E">
            <w:pPr>
              <w:spacing w:line="240" w:lineRule="auto"/>
              <w:jc w:val="left"/>
              <w:rPr>
                <w:rFonts w:eastAsia="Times New Roman" w:cs="Times New Roman"/>
                <w:color w:val="000000" w:themeColor="text1"/>
                <w:sz w:val="20"/>
                <w:szCs w:val="20"/>
                <w:lang w:eastAsia="da-DK"/>
              </w:rPr>
            </w:pPr>
          </w:p>
        </w:tc>
        <w:tc>
          <w:tcPr>
            <w:tcW w:w="960" w:type="dxa"/>
            <w:tcBorders>
              <w:top w:val="nil"/>
              <w:left w:val="nil"/>
              <w:right w:val="nil"/>
            </w:tcBorders>
            <w:shd w:val="clear" w:color="auto" w:fill="auto"/>
            <w:noWrap/>
            <w:vAlign w:val="bottom"/>
            <w:hideMark/>
          </w:tcPr>
          <w:p w14:paraId="26D71B9B" w14:textId="77777777" w:rsidR="00891FF7" w:rsidRPr="007D7B0D" w:rsidRDefault="00891FF7" w:rsidP="004A304E">
            <w:pPr>
              <w:spacing w:line="240" w:lineRule="auto"/>
              <w:jc w:val="left"/>
              <w:rPr>
                <w:rFonts w:eastAsia="Times New Roman" w:cs="Times New Roman"/>
                <w:color w:val="000000" w:themeColor="text1"/>
                <w:sz w:val="20"/>
                <w:szCs w:val="20"/>
                <w:lang w:eastAsia="da-DK"/>
              </w:rPr>
            </w:pPr>
          </w:p>
        </w:tc>
      </w:tr>
      <w:tr w:rsidR="00891FF7" w:rsidRPr="00A82BB0" w14:paraId="7C56E00E" w14:textId="77777777" w:rsidTr="00813769">
        <w:trPr>
          <w:trHeight w:val="300"/>
        </w:trPr>
        <w:tc>
          <w:tcPr>
            <w:tcW w:w="1985" w:type="dxa"/>
            <w:tcBorders>
              <w:top w:val="nil"/>
              <w:left w:val="nil"/>
              <w:bottom w:val="single" w:sz="4" w:space="0" w:color="auto"/>
              <w:right w:val="single" w:sz="4" w:space="0" w:color="auto"/>
            </w:tcBorders>
            <w:shd w:val="clear" w:color="auto" w:fill="auto"/>
            <w:noWrap/>
            <w:vAlign w:val="bottom"/>
            <w:hideMark/>
          </w:tcPr>
          <w:p w14:paraId="59AAAFC1" w14:textId="59763F7A" w:rsidR="00891FF7" w:rsidRPr="00813769" w:rsidRDefault="00B22CC1" w:rsidP="004A304E">
            <w:pPr>
              <w:spacing w:line="240" w:lineRule="auto"/>
              <w:jc w:val="left"/>
              <w:rPr>
                <w:rFonts w:eastAsia="Times New Roman" w:cs="Times New Roman"/>
                <w:b/>
                <w:bCs/>
                <w:color w:val="000000" w:themeColor="text1"/>
                <w:sz w:val="20"/>
                <w:szCs w:val="20"/>
                <w:lang w:eastAsia="da-DK"/>
              </w:rPr>
            </w:pPr>
            <w:r>
              <w:rPr>
                <w:rFonts w:eastAsia="Times New Roman" w:cs="Times New Roman"/>
                <w:b/>
                <w:bCs/>
                <w:color w:val="000000" w:themeColor="text1"/>
                <w:sz w:val="20"/>
                <w:szCs w:val="20"/>
                <w:lang w:eastAsia="da-DK"/>
              </w:rPr>
              <w:t>M</w:t>
            </w:r>
            <w:r w:rsidR="00891FF7" w:rsidRPr="00813769">
              <w:rPr>
                <w:rFonts w:eastAsia="Times New Roman" w:cs="Times New Roman"/>
                <w:b/>
                <w:bCs/>
                <w:color w:val="000000" w:themeColor="text1"/>
                <w:sz w:val="20"/>
                <w:szCs w:val="20"/>
                <w:lang w:eastAsia="da-DK"/>
              </w:rPr>
              <w:t>io kr.</w:t>
            </w:r>
          </w:p>
        </w:tc>
        <w:tc>
          <w:tcPr>
            <w:tcW w:w="1276" w:type="dxa"/>
            <w:tcBorders>
              <w:top w:val="nil"/>
              <w:left w:val="single" w:sz="4" w:space="0" w:color="auto"/>
              <w:bottom w:val="single" w:sz="4" w:space="0" w:color="auto"/>
              <w:right w:val="nil"/>
            </w:tcBorders>
            <w:shd w:val="clear" w:color="auto" w:fill="auto"/>
            <w:noWrap/>
            <w:vAlign w:val="bottom"/>
            <w:hideMark/>
          </w:tcPr>
          <w:p w14:paraId="042559B5" w14:textId="77777777" w:rsidR="00891FF7" w:rsidRPr="00813769" w:rsidRDefault="00891FF7" w:rsidP="004A304E">
            <w:pPr>
              <w:spacing w:line="240" w:lineRule="auto"/>
              <w:jc w:val="right"/>
              <w:rPr>
                <w:rFonts w:eastAsia="Times New Roman" w:cs="Times New Roman"/>
                <w:b/>
                <w:bCs/>
                <w:color w:val="000000" w:themeColor="text1"/>
                <w:sz w:val="20"/>
                <w:szCs w:val="20"/>
                <w:lang w:eastAsia="da-DK"/>
              </w:rPr>
            </w:pPr>
            <w:r w:rsidRPr="00813769">
              <w:rPr>
                <w:rFonts w:eastAsia="Times New Roman" w:cs="Times New Roman"/>
                <w:b/>
                <w:bCs/>
                <w:color w:val="000000" w:themeColor="text1"/>
                <w:sz w:val="20"/>
                <w:szCs w:val="20"/>
                <w:lang w:eastAsia="da-DK"/>
              </w:rPr>
              <w:t>2023</w:t>
            </w:r>
          </w:p>
        </w:tc>
        <w:tc>
          <w:tcPr>
            <w:tcW w:w="960" w:type="dxa"/>
            <w:tcBorders>
              <w:top w:val="nil"/>
              <w:left w:val="nil"/>
              <w:bottom w:val="single" w:sz="4" w:space="0" w:color="auto"/>
              <w:right w:val="nil"/>
            </w:tcBorders>
            <w:shd w:val="clear" w:color="auto" w:fill="auto"/>
            <w:noWrap/>
            <w:vAlign w:val="bottom"/>
            <w:hideMark/>
          </w:tcPr>
          <w:p w14:paraId="27EF1905" w14:textId="77777777" w:rsidR="00891FF7" w:rsidRPr="00813769" w:rsidRDefault="00891FF7" w:rsidP="004A304E">
            <w:pPr>
              <w:spacing w:line="240" w:lineRule="auto"/>
              <w:jc w:val="right"/>
              <w:rPr>
                <w:rFonts w:eastAsia="Times New Roman" w:cs="Times New Roman"/>
                <w:b/>
                <w:bCs/>
                <w:color w:val="000000" w:themeColor="text1"/>
                <w:sz w:val="20"/>
                <w:szCs w:val="20"/>
                <w:lang w:eastAsia="da-DK"/>
              </w:rPr>
            </w:pPr>
            <w:r w:rsidRPr="00813769">
              <w:rPr>
                <w:rFonts w:eastAsia="Times New Roman" w:cs="Times New Roman"/>
                <w:b/>
                <w:bCs/>
                <w:color w:val="000000" w:themeColor="text1"/>
                <w:sz w:val="20"/>
                <w:szCs w:val="20"/>
                <w:lang w:eastAsia="da-DK"/>
              </w:rPr>
              <w:t>2024</w:t>
            </w:r>
          </w:p>
        </w:tc>
        <w:tc>
          <w:tcPr>
            <w:tcW w:w="960" w:type="dxa"/>
            <w:tcBorders>
              <w:top w:val="nil"/>
              <w:left w:val="nil"/>
              <w:bottom w:val="single" w:sz="4" w:space="0" w:color="auto"/>
              <w:right w:val="nil"/>
            </w:tcBorders>
            <w:shd w:val="clear" w:color="auto" w:fill="auto"/>
            <w:noWrap/>
            <w:vAlign w:val="bottom"/>
            <w:hideMark/>
          </w:tcPr>
          <w:p w14:paraId="1A9FAB5C" w14:textId="77777777" w:rsidR="00891FF7" w:rsidRPr="00813769" w:rsidRDefault="00891FF7" w:rsidP="004A304E">
            <w:pPr>
              <w:spacing w:line="240" w:lineRule="auto"/>
              <w:jc w:val="right"/>
              <w:rPr>
                <w:rFonts w:eastAsia="Times New Roman" w:cs="Times New Roman"/>
                <w:b/>
                <w:bCs/>
                <w:color w:val="000000" w:themeColor="text1"/>
                <w:sz w:val="20"/>
                <w:szCs w:val="20"/>
                <w:lang w:eastAsia="da-DK"/>
              </w:rPr>
            </w:pPr>
            <w:r w:rsidRPr="00813769">
              <w:rPr>
                <w:rFonts w:eastAsia="Times New Roman" w:cs="Times New Roman"/>
                <w:b/>
                <w:bCs/>
                <w:color w:val="000000" w:themeColor="text1"/>
                <w:sz w:val="20"/>
                <w:szCs w:val="20"/>
                <w:lang w:eastAsia="da-DK"/>
              </w:rPr>
              <w:t>2025</w:t>
            </w:r>
          </w:p>
        </w:tc>
        <w:tc>
          <w:tcPr>
            <w:tcW w:w="960" w:type="dxa"/>
            <w:tcBorders>
              <w:top w:val="nil"/>
              <w:left w:val="nil"/>
              <w:bottom w:val="single" w:sz="4" w:space="0" w:color="auto"/>
              <w:right w:val="nil"/>
            </w:tcBorders>
            <w:shd w:val="clear" w:color="auto" w:fill="auto"/>
            <w:noWrap/>
            <w:vAlign w:val="bottom"/>
            <w:hideMark/>
          </w:tcPr>
          <w:p w14:paraId="7A7DBA64" w14:textId="77777777" w:rsidR="00891FF7" w:rsidRPr="00813769" w:rsidRDefault="00891FF7" w:rsidP="004A304E">
            <w:pPr>
              <w:spacing w:line="240" w:lineRule="auto"/>
              <w:jc w:val="right"/>
              <w:rPr>
                <w:rFonts w:eastAsia="Times New Roman" w:cs="Times New Roman"/>
                <w:b/>
                <w:bCs/>
                <w:color w:val="000000" w:themeColor="text1"/>
                <w:sz w:val="20"/>
                <w:szCs w:val="20"/>
                <w:lang w:eastAsia="da-DK"/>
              </w:rPr>
            </w:pPr>
            <w:r w:rsidRPr="00813769">
              <w:rPr>
                <w:rFonts w:eastAsia="Times New Roman" w:cs="Times New Roman"/>
                <w:b/>
                <w:bCs/>
                <w:color w:val="000000" w:themeColor="text1"/>
                <w:sz w:val="20"/>
                <w:szCs w:val="20"/>
                <w:lang w:eastAsia="da-DK"/>
              </w:rPr>
              <w:t>2026</w:t>
            </w:r>
          </w:p>
        </w:tc>
        <w:tc>
          <w:tcPr>
            <w:tcW w:w="960" w:type="dxa"/>
            <w:tcBorders>
              <w:top w:val="nil"/>
              <w:left w:val="nil"/>
              <w:bottom w:val="single" w:sz="4" w:space="0" w:color="auto"/>
              <w:right w:val="nil"/>
            </w:tcBorders>
            <w:shd w:val="clear" w:color="auto" w:fill="auto"/>
            <w:noWrap/>
            <w:vAlign w:val="bottom"/>
            <w:hideMark/>
          </w:tcPr>
          <w:p w14:paraId="44648397" w14:textId="77777777" w:rsidR="00891FF7" w:rsidRPr="00813769" w:rsidRDefault="00891FF7" w:rsidP="004A304E">
            <w:pPr>
              <w:spacing w:line="240" w:lineRule="auto"/>
              <w:jc w:val="right"/>
              <w:rPr>
                <w:rFonts w:eastAsia="Times New Roman" w:cs="Times New Roman"/>
                <w:b/>
                <w:bCs/>
                <w:color w:val="000000" w:themeColor="text1"/>
                <w:sz w:val="20"/>
                <w:szCs w:val="20"/>
                <w:lang w:eastAsia="da-DK"/>
              </w:rPr>
            </w:pPr>
            <w:r w:rsidRPr="00813769">
              <w:rPr>
                <w:rFonts w:eastAsia="Times New Roman" w:cs="Times New Roman"/>
                <w:b/>
                <w:bCs/>
                <w:color w:val="000000" w:themeColor="text1"/>
                <w:sz w:val="20"/>
                <w:szCs w:val="20"/>
                <w:lang w:eastAsia="da-DK"/>
              </w:rPr>
              <w:t>2027</w:t>
            </w:r>
          </w:p>
        </w:tc>
      </w:tr>
      <w:tr w:rsidR="00891FF7" w:rsidRPr="00A82BB0" w14:paraId="6C5A030C" w14:textId="77777777" w:rsidTr="00813769">
        <w:trPr>
          <w:trHeight w:val="300"/>
        </w:trPr>
        <w:tc>
          <w:tcPr>
            <w:tcW w:w="1985" w:type="dxa"/>
            <w:tcBorders>
              <w:top w:val="single" w:sz="4" w:space="0" w:color="auto"/>
              <w:left w:val="nil"/>
              <w:bottom w:val="nil"/>
              <w:right w:val="single" w:sz="4" w:space="0" w:color="auto"/>
            </w:tcBorders>
            <w:shd w:val="clear" w:color="auto" w:fill="auto"/>
            <w:noWrap/>
            <w:vAlign w:val="bottom"/>
            <w:hideMark/>
          </w:tcPr>
          <w:p w14:paraId="2BDE77F1" w14:textId="25EEF81F" w:rsidR="00891FF7" w:rsidRPr="00813769" w:rsidRDefault="00891FF7" w:rsidP="004A304E">
            <w:pPr>
              <w:spacing w:line="240" w:lineRule="auto"/>
              <w:jc w:val="lef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Realisationssaldo primo</w:t>
            </w:r>
          </w:p>
        </w:tc>
        <w:tc>
          <w:tcPr>
            <w:tcW w:w="1276" w:type="dxa"/>
            <w:tcBorders>
              <w:top w:val="single" w:sz="4" w:space="0" w:color="auto"/>
              <w:left w:val="single" w:sz="4" w:space="0" w:color="auto"/>
              <w:bottom w:val="nil"/>
              <w:right w:val="nil"/>
            </w:tcBorders>
            <w:shd w:val="clear" w:color="auto" w:fill="auto"/>
            <w:noWrap/>
            <w:vAlign w:val="bottom"/>
            <w:hideMark/>
          </w:tcPr>
          <w:p w14:paraId="10AC1FF6" w14:textId="77777777" w:rsidR="00891FF7" w:rsidRPr="00813769" w:rsidRDefault="00891FF7" w:rsidP="004A304E">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60</w:t>
            </w:r>
          </w:p>
        </w:tc>
        <w:tc>
          <w:tcPr>
            <w:tcW w:w="960" w:type="dxa"/>
            <w:tcBorders>
              <w:top w:val="single" w:sz="4" w:space="0" w:color="auto"/>
              <w:left w:val="nil"/>
              <w:bottom w:val="nil"/>
              <w:right w:val="nil"/>
            </w:tcBorders>
            <w:shd w:val="clear" w:color="auto" w:fill="auto"/>
            <w:noWrap/>
            <w:vAlign w:val="bottom"/>
            <w:hideMark/>
          </w:tcPr>
          <w:p w14:paraId="3652D7D1" w14:textId="77777777" w:rsidR="00891FF7" w:rsidRPr="00813769" w:rsidRDefault="00891FF7" w:rsidP="004A304E">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60</w:t>
            </w:r>
          </w:p>
        </w:tc>
        <w:tc>
          <w:tcPr>
            <w:tcW w:w="960" w:type="dxa"/>
            <w:tcBorders>
              <w:top w:val="single" w:sz="4" w:space="0" w:color="auto"/>
              <w:left w:val="nil"/>
              <w:bottom w:val="nil"/>
              <w:right w:val="nil"/>
            </w:tcBorders>
            <w:shd w:val="clear" w:color="auto" w:fill="auto"/>
            <w:noWrap/>
            <w:vAlign w:val="bottom"/>
            <w:hideMark/>
          </w:tcPr>
          <w:p w14:paraId="232E304A" w14:textId="77777777" w:rsidR="00891FF7" w:rsidRPr="00813769" w:rsidRDefault="00891FF7" w:rsidP="004A304E">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50</w:t>
            </w:r>
          </w:p>
        </w:tc>
        <w:tc>
          <w:tcPr>
            <w:tcW w:w="960" w:type="dxa"/>
            <w:tcBorders>
              <w:top w:val="single" w:sz="4" w:space="0" w:color="auto"/>
              <w:left w:val="nil"/>
              <w:bottom w:val="nil"/>
              <w:right w:val="nil"/>
            </w:tcBorders>
            <w:shd w:val="clear" w:color="auto" w:fill="auto"/>
            <w:noWrap/>
            <w:vAlign w:val="bottom"/>
            <w:hideMark/>
          </w:tcPr>
          <w:p w14:paraId="3DFF45AC" w14:textId="77777777" w:rsidR="00891FF7" w:rsidRPr="00813769" w:rsidRDefault="00891FF7" w:rsidP="004A304E">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50</w:t>
            </w:r>
          </w:p>
        </w:tc>
        <w:tc>
          <w:tcPr>
            <w:tcW w:w="960" w:type="dxa"/>
            <w:tcBorders>
              <w:top w:val="single" w:sz="4" w:space="0" w:color="auto"/>
              <w:left w:val="nil"/>
              <w:bottom w:val="nil"/>
              <w:right w:val="nil"/>
            </w:tcBorders>
            <w:shd w:val="clear" w:color="auto" w:fill="auto"/>
            <w:noWrap/>
            <w:vAlign w:val="bottom"/>
            <w:hideMark/>
          </w:tcPr>
          <w:p w14:paraId="0520B992" w14:textId="77777777" w:rsidR="00891FF7" w:rsidRPr="00813769" w:rsidRDefault="00891FF7" w:rsidP="004A304E">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45</w:t>
            </w:r>
          </w:p>
        </w:tc>
      </w:tr>
      <w:tr w:rsidR="00891FF7" w:rsidRPr="00A82BB0" w14:paraId="567A9740" w14:textId="77777777" w:rsidTr="00813769">
        <w:trPr>
          <w:trHeight w:val="300"/>
        </w:trPr>
        <w:tc>
          <w:tcPr>
            <w:tcW w:w="1985" w:type="dxa"/>
            <w:tcBorders>
              <w:top w:val="nil"/>
              <w:left w:val="nil"/>
              <w:bottom w:val="nil"/>
              <w:right w:val="single" w:sz="4" w:space="0" w:color="auto"/>
            </w:tcBorders>
            <w:shd w:val="clear" w:color="auto" w:fill="auto"/>
            <w:noWrap/>
            <w:vAlign w:val="bottom"/>
            <w:hideMark/>
          </w:tcPr>
          <w:p w14:paraId="5433D2A1" w14:textId="0E4360EC" w:rsidR="00891FF7" w:rsidRPr="00813769" w:rsidRDefault="00891FF7" w:rsidP="004A304E">
            <w:pPr>
              <w:spacing w:line="240" w:lineRule="auto"/>
              <w:jc w:val="lef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Ejendommens handelsværdi ultimo</w:t>
            </w:r>
          </w:p>
        </w:tc>
        <w:tc>
          <w:tcPr>
            <w:tcW w:w="1276" w:type="dxa"/>
            <w:tcBorders>
              <w:top w:val="nil"/>
              <w:left w:val="single" w:sz="4" w:space="0" w:color="auto"/>
              <w:bottom w:val="nil"/>
              <w:right w:val="nil"/>
            </w:tcBorders>
            <w:shd w:val="clear" w:color="auto" w:fill="auto"/>
            <w:noWrap/>
            <w:vAlign w:val="bottom"/>
            <w:hideMark/>
          </w:tcPr>
          <w:p w14:paraId="63243A49" w14:textId="77777777" w:rsidR="00891FF7" w:rsidRPr="00813769" w:rsidRDefault="00891FF7" w:rsidP="004A304E">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120</w:t>
            </w:r>
          </w:p>
        </w:tc>
        <w:tc>
          <w:tcPr>
            <w:tcW w:w="960" w:type="dxa"/>
            <w:tcBorders>
              <w:top w:val="nil"/>
              <w:left w:val="nil"/>
              <w:bottom w:val="nil"/>
              <w:right w:val="nil"/>
            </w:tcBorders>
            <w:shd w:val="clear" w:color="auto" w:fill="auto"/>
            <w:noWrap/>
            <w:vAlign w:val="bottom"/>
            <w:hideMark/>
          </w:tcPr>
          <w:p w14:paraId="7FDCED83" w14:textId="77777777" w:rsidR="00891FF7" w:rsidRPr="00813769" w:rsidRDefault="00891FF7" w:rsidP="004A304E">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110</w:t>
            </w:r>
          </w:p>
        </w:tc>
        <w:tc>
          <w:tcPr>
            <w:tcW w:w="960" w:type="dxa"/>
            <w:tcBorders>
              <w:top w:val="nil"/>
              <w:left w:val="nil"/>
              <w:bottom w:val="nil"/>
              <w:right w:val="nil"/>
            </w:tcBorders>
            <w:shd w:val="clear" w:color="auto" w:fill="auto"/>
            <w:noWrap/>
            <w:vAlign w:val="bottom"/>
            <w:hideMark/>
          </w:tcPr>
          <w:p w14:paraId="5990C97A" w14:textId="77777777" w:rsidR="00891FF7" w:rsidRPr="00813769" w:rsidRDefault="00891FF7" w:rsidP="004A304E">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120</w:t>
            </w:r>
          </w:p>
        </w:tc>
        <w:tc>
          <w:tcPr>
            <w:tcW w:w="960" w:type="dxa"/>
            <w:tcBorders>
              <w:top w:val="nil"/>
              <w:left w:val="nil"/>
              <w:bottom w:val="nil"/>
              <w:right w:val="nil"/>
            </w:tcBorders>
            <w:shd w:val="clear" w:color="auto" w:fill="auto"/>
            <w:noWrap/>
            <w:vAlign w:val="bottom"/>
            <w:hideMark/>
          </w:tcPr>
          <w:p w14:paraId="228E3626" w14:textId="77777777" w:rsidR="00891FF7" w:rsidRPr="00813769" w:rsidRDefault="00891FF7" w:rsidP="004A304E">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115</w:t>
            </w:r>
          </w:p>
        </w:tc>
        <w:tc>
          <w:tcPr>
            <w:tcW w:w="960" w:type="dxa"/>
            <w:tcBorders>
              <w:top w:val="nil"/>
              <w:left w:val="nil"/>
              <w:bottom w:val="nil"/>
              <w:right w:val="nil"/>
            </w:tcBorders>
            <w:shd w:val="clear" w:color="auto" w:fill="auto"/>
            <w:noWrap/>
            <w:vAlign w:val="bottom"/>
            <w:hideMark/>
          </w:tcPr>
          <w:p w14:paraId="44C007B4" w14:textId="77777777" w:rsidR="00891FF7" w:rsidRPr="00813769" w:rsidRDefault="00891FF7" w:rsidP="004A304E">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110</w:t>
            </w:r>
          </w:p>
        </w:tc>
      </w:tr>
      <w:tr w:rsidR="00891FF7" w:rsidRPr="00A82BB0" w14:paraId="60C05F9E" w14:textId="77777777" w:rsidTr="00813769">
        <w:trPr>
          <w:trHeight w:val="300"/>
        </w:trPr>
        <w:tc>
          <w:tcPr>
            <w:tcW w:w="1985" w:type="dxa"/>
            <w:tcBorders>
              <w:top w:val="nil"/>
              <w:left w:val="nil"/>
              <w:bottom w:val="nil"/>
              <w:right w:val="single" w:sz="4" w:space="0" w:color="auto"/>
            </w:tcBorders>
            <w:shd w:val="clear" w:color="auto" w:fill="auto"/>
            <w:noWrap/>
            <w:vAlign w:val="bottom"/>
            <w:hideMark/>
          </w:tcPr>
          <w:p w14:paraId="38094A24" w14:textId="77777777" w:rsidR="00891FF7" w:rsidRPr="00813769" w:rsidRDefault="00891FF7" w:rsidP="004A304E">
            <w:pPr>
              <w:spacing w:line="240" w:lineRule="auto"/>
              <w:jc w:val="lef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Årets ejendomsavance/-tab</w:t>
            </w:r>
          </w:p>
        </w:tc>
        <w:tc>
          <w:tcPr>
            <w:tcW w:w="1276" w:type="dxa"/>
            <w:tcBorders>
              <w:top w:val="nil"/>
              <w:left w:val="single" w:sz="4" w:space="0" w:color="auto"/>
              <w:bottom w:val="nil"/>
              <w:right w:val="nil"/>
            </w:tcBorders>
            <w:shd w:val="clear" w:color="auto" w:fill="auto"/>
            <w:noWrap/>
            <w:vAlign w:val="bottom"/>
            <w:hideMark/>
          </w:tcPr>
          <w:p w14:paraId="576E2364" w14:textId="77777777" w:rsidR="00891FF7" w:rsidRPr="00813769" w:rsidRDefault="00891FF7" w:rsidP="004A304E">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0</w:t>
            </w:r>
          </w:p>
        </w:tc>
        <w:tc>
          <w:tcPr>
            <w:tcW w:w="960" w:type="dxa"/>
            <w:tcBorders>
              <w:top w:val="nil"/>
              <w:left w:val="nil"/>
              <w:bottom w:val="nil"/>
              <w:right w:val="nil"/>
            </w:tcBorders>
            <w:shd w:val="clear" w:color="auto" w:fill="auto"/>
            <w:noWrap/>
            <w:vAlign w:val="bottom"/>
            <w:hideMark/>
          </w:tcPr>
          <w:p w14:paraId="375084C7" w14:textId="77777777" w:rsidR="00891FF7" w:rsidRPr="00813769" w:rsidRDefault="00891FF7" w:rsidP="004A304E">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-10</w:t>
            </w:r>
          </w:p>
        </w:tc>
        <w:tc>
          <w:tcPr>
            <w:tcW w:w="960" w:type="dxa"/>
            <w:tcBorders>
              <w:top w:val="nil"/>
              <w:left w:val="nil"/>
              <w:bottom w:val="nil"/>
              <w:right w:val="nil"/>
            </w:tcBorders>
            <w:shd w:val="clear" w:color="auto" w:fill="auto"/>
            <w:noWrap/>
            <w:vAlign w:val="bottom"/>
            <w:hideMark/>
          </w:tcPr>
          <w:p w14:paraId="27028AC7" w14:textId="77777777" w:rsidR="00891FF7" w:rsidRPr="00813769" w:rsidRDefault="00891FF7" w:rsidP="004A304E">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10</w:t>
            </w:r>
          </w:p>
        </w:tc>
        <w:tc>
          <w:tcPr>
            <w:tcW w:w="960" w:type="dxa"/>
            <w:tcBorders>
              <w:top w:val="nil"/>
              <w:left w:val="nil"/>
              <w:bottom w:val="nil"/>
              <w:right w:val="nil"/>
            </w:tcBorders>
            <w:shd w:val="clear" w:color="auto" w:fill="auto"/>
            <w:noWrap/>
            <w:vAlign w:val="bottom"/>
            <w:hideMark/>
          </w:tcPr>
          <w:p w14:paraId="2792CEE2" w14:textId="77777777" w:rsidR="00891FF7" w:rsidRPr="00813769" w:rsidRDefault="00891FF7" w:rsidP="004A304E">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-5</w:t>
            </w:r>
          </w:p>
        </w:tc>
        <w:tc>
          <w:tcPr>
            <w:tcW w:w="960" w:type="dxa"/>
            <w:tcBorders>
              <w:top w:val="nil"/>
              <w:left w:val="nil"/>
              <w:bottom w:val="nil"/>
              <w:right w:val="nil"/>
            </w:tcBorders>
            <w:shd w:val="clear" w:color="auto" w:fill="auto"/>
            <w:noWrap/>
            <w:vAlign w:val="bottom"/>
            <w:hideMark/>
          </w:tcPr>
          <w:p w14:paraId="46177EBB" w14:textId="77777777" w:rsidR="00891FF7" w:rsidRPr="00813769" w:rsidRDefault="00891FF7" w:rsidP="004A304E">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-5</w:t>
            </w:r>
          </w:p>
        </w:tc>
      </w:tr>
      <w:tr w:rsidR="00891FF7" w:rsidRPr="00A82BB0" w14:paraId="0F944504" w14:textId="77777777" w:rsidTr="00813769">
        <w:trPr>
          <w:trHeight w:val="300"/>
        </w:trPr>
        <w:tc>
          <w:tcPr>
            <w:tcW w:w="1985" w:type="dxa"/>
            <w:tcBorders>
              <w:top w:val="nil"/>
              <w:left w:val="nil"/>
              <w:bottom w:val="nil"/>
              <w:right w:val="single" w:sz="4" w:space="0" w:color="auto"/>
            </w:tcBorders>
            <w:shd w:val="clear" w:color="auto" w:fill="auto"/>
            <w:noWrap/>
            <w:vAlign w:val="bottom"/>
          </w:tcPr>
          <w:p w14:paraId="4F212AFB" w14:textId="1EFDD825" w:rsidR="00891FF7" w:rsidRPr="00813769" w:rsidRDefault="00891FF7" w:rsidP="004A304E">
            <w:pPr>
              <w:spacing w:line="240" w:lineRule="auto"/>
              <w:jc w:val="lef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Ejendomsavance/tab, der medregnes i indkomstopgørelsen</w:t>
            </w:r>
          </w:p>
        </w:tc>
        <w:tc>
          <w:tcPr>
            <w:tcW w:w="1276" w:type="dxa"/>
            <w:tcBorders>
              <w:top w:val="nil"/>
              <w:left w:val="single" w:sz="4" w:space="0" w:color="auto"/>
              <w:bottom w:val="nil"/>
              <w:right w:val="nil"/>
            </w:tcBorders>
            <w:shd w:val="clear" w:color="auto" w:fill="auto"/>
            <w:noWrap/>
            <w:vAlign w:val="bottom"/>
          </w:tcPr>
          <w:p w14:paraId="467ABF51" w14:textId="0B59C4DB" w:rsidR="00891FF7" w:rsidRPr="00813769" w:rsidRDefault="00891FF7" w:rsidP="004A304E">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0</w:t>
            </w:r>
          </w:p>
        </w:tc>
        <w:tc>
          <w:tcPr>
            <w:tcW w:w="960" w:type="dxa"/>
            <w:tcBorders>
              <w:top w:val="nil"/>
              <w:left w:val="nil"/>
              <w:bottom w:val="nil"/>
              <w:right w:val="nil"/>
            </w:tcBorders>
            <w:shd w:val="clear" w:color="auto" w:fill="auto"/>
            <w:noWrap/>
            <w:vAlign w:val="bottom"/>
          </w:tcPr>
          <w:p w14:paraId="6E0A61FC" w14:textId="0DE1CEFE" w:rsidR="00891FF7" w:rsidRPr="00813769" w:rsidRDefault="00891FF7" w:rsidP="004A304E">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0</w:t>
            </w:r>
          </w:p>
        </w:tc>
        <w:tc>
          <w:tcPr>
            <w:tcW w:w="960" w:type="dxa"/>
            <w:tcBorders>
              <w:top w:val="nil"/>
              <w:left w:val="nil"/>
              <w:bottom w:val="nil"/>
              <w:right w:val="nil"/>
            </w:tcBorders>
            <w:shd w:val="clear" w:color="auto" w:fill="auto"/>
            <w:noWrap/>
            <w:vAlign w:val="bottom"/>
          </w:tcPr>
          <w:p w14:paraId="1F5DFF67" w14:textId="2ACE9A0D" w:rsidR="00891FF7" w:rsidRPr="00813769" w:rsidRDefault="00891FF7" w:rsidP="004A304E">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10</w:t>
            </w:r>
          </w:p>
        </w:tc>
        <w:tc>
          <w:tcPr>
            <w:tcW w:w="960" w:type="dxa"/>
            <w:tcBorders>
              <w:top w:val="nil"/>
              <w:left w:val="nil"/>
              <w:bottom w:val="nil"/>
              <w:right w:val="nil"/>
            </w:tcBorders>
            <w:shd w:val="clear" w:color="auto" w:fill="auto"/>
            <w:noWrap/>
            <w:vAlign w:val="bottom"/>
          </w:tcPr>
          <w:p w14:paraId="741BD9D2" w14:textId="52F8ABE7" w:rsidR="00891FF7" w:rsidRPr="00813769" w:rsidRDefault="00891FF7" w:rsidP="004A304E">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0</w:t>
            </w:r>
          </w:p>
        </w:tc>
        <w:tc>
          <w:tcPr>
            <w:tcW w:w="960" w:type="dxa"/>
            <w:tcBorders>
              <w:top w:val="nil"/>
              <w:left w:val="nil"/>
              <w:bottom w:val="nil"/>
              <w:right w:val="nil"/>
            </w:tcBorders>
            <w:shd w:val="clear" w:color="auto" w:fill="auto"/>
            <w:noWrap/>
            <w:vAlign w:val="bottom"/>
          </w:tcPr>
          <w:p w14:paraId="6B805176" w14:textId="5AC57D29" w:rsidR="00891FF7" w:rsidRPr="00813769" w:rsidRDefault="00891FF7" w:rsidP="004A304E">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40</w:t>
            </w:r>
          </w:p>
        </w:tc>
      </w:tr>
    </w:tbl>
    <w:p w14:paraId="193E2D04" w14:textId="60CA9F09" w:rsidR="00B2156C" w:rsidRPr="00815B3E" w:rsidRDefault="00205E8A" w:rsidP="00981FEA">
      <w:pPr>
        <w:spacing w:after="240"/>
        <w:jc w:val="left"/>
        <w:rPr>
          <w:rFonts w:eastAsia="Calibri" w:cs="Times New Roman"/>
          <w:bCs/>
          <w:color w:val="000000" w:themeColor="text1"/>
          <w:szCs w:val="24"/>
        </w:rPr>
      </w:pPr>
      <w:r w:rsidRPr="00815B3E">
        <w:rPr>
          <w:rFonts w:eastAsia="Calibri" w:cs="Times New Roman"/>
          <w:bCs/>
          <w:color w:val="000000" w:themeColor="text1"/>
          <w:szCs w:val="24"/>
        </w:rPr>
        <w:br/>
      </w:r>
      <w:r w:rsidR="00B2156C" w:rsidRPr="00815B3E">
        <w:rPr>
          <w:rFonts w:eastAsia="Calibri" w:cs="Times New Roman"/>
          <w:bCs/>
          <w:color w:val="000000" w:themeColor="text1"/>
          <w:szCs w:val="24"/>
        </w:rPr>
        <w:t xml:space="preserve">I eksemplet falder ejendommens værdi med 10 </w:t>
      </w:r>
      <w:r w:rsidR="00F07481">
        <w:rPr>
          <w:rFonts w:eastAsia="Calibri" w:cs="Times New Roman"/>
          <w:bCs/>
          <w:color w:val="000000" w:themeColor="text1"/>
          <w:szCs w:val="24"/>
        </w:rPr>
        <w:t xml:space="preserve">mio. kr. </w:t>
      </w:r>
      <w:r w:rsidR="00B2156C" w:rsidRPr="00815B3E">
        <w:rPr>
          <w:rFonts w:eastAsia="Calibri" w:cs="Times New Roman"/>
          <w:bCs/>
          <w:color w:val="000000" w:themeColor="text1"/>
          <w:szCs w:val="24"/>
        </w:rPr>
        <w:t>i 2024. Tabet kan ikke fratrækkes, men må modregnes i den positive realisationssaldo, som reduceres fra 60</w:t>
      </w:r>
      <w:r w:rsidR="00F07481">
        <w:rPr>
          <w:rFonts w:eastAsia="Calibri" w:cs="Times New Roman"/>
          <w:bCs/>
          <w:color w:val="000000" w:themeColor="text1"/>
          <w:szCs w:val="24"/>
        </w:rPr>
        <w:t xml:space="preserve"> mio. kr.</w:t>
      </w:r>
      <w:r w:rsidR="00B2156C" w:rsidRPr="00815B3E">
        <w:rPr>
          <w:rFonts w:eastAsia="Calibri" w:cs="Times New Roman"/>
          <w:bCs/>
          <w:color w:val="000000" w:themeColor="text1"/>
          <w:szCs w:val="24"/>
        </w:rPr>
        <w:t xml:space="preserve"> til 50</w:t>
      </w:r>
      <w:r w:rsidR="00F07481">
        <w:rPr>
          <w:rFonts w:eastAsia="Calibri" w:cs="Times New Roman"/>
          <w:bCs/>
          <w:color w:val="000000" w:themeColor="text1"/>
          <w:szCs w:val="24"/>
        </w:rPr>
        <w:t xml:space="preserve"> mio. kr.</w:t>
      </w:r>
      <w:r w:rsidR="00B2156C" w:rsidRPr="00815B3E">
        <w:rPr>
          <w:rFonts w:eastAsia="Calibri" w:cs="Times New Roman"/>
          <w:bCs/>
          <w:color w:val="000000" w:themeColor="text1"/>
          <w:szCs w:val="24"/>
        </w:rPr>
        <w:t xml:space="preserve"> I 2025 stiger værdien med 10</w:t>
      </w:r>
      <w:r w:rsidR="00F07481">
        <w:rPr>
          <w:rFonts w:eastAsia="Calibri" w:cs="Times New Roman"/>
          <w:bCs/>
          <w:color w:val="000000" w:themeColor="text1"/>
          <w:szCs w:val="24"/>
        </w:rPr>
        <w:t xml:space="preserve"> mio. kr.</w:t>
      </w:r>
      <w:r w:rsidR="00B2156C" w:rsidRPr="00815B3E">
        <w:rPr>
          <w:rFonts w:eastAsia="Calibri" w:cs="Times New Roman"/>
          <w:bCs/>
          <w:color w:val="000000" w:themeColor="text1"/>
          <w:szCs w:val="24"/>
        </w:rPr>
        <w:t>, som udløser beskatning i 2025. I 2026 falder ejendommens værdi, men værdifaldet kan ikke fratrækkes, da der fortsat er en positiv realisationssaldo, som i stedet reduceres med tabet til 45</w:t>
      </w:r>
      <w:r w:rsidR="00F07481">
        <w:rPr>
          <w:rFonts w:eastAsia="Calibri" w:cs="Times New Roman"/>
          <w:bCs/>
          <w:color w:val="000000" w:themeColor="text1"/>
          <w:szCs w:val="24"/>
        </w:rPr>
        <w:t xml:space="preserve"> mio. kr</w:t>
      </w:r>
      <w:r w:rsidR="00B2156C" w:rsidRPr="00815B3E">
        <w:rPr>
          <w:rFonts w:eastAsia="Calibri" w:cs="Times New Roman"/>
          <w:bCs/>
          <w:color w:val="000000" w:themeColor="text1"/>
          <w:szCs w:val="24"/>
        </w:rPr>
        <w:t xml:space="preserve">. I 2027 sælges ejendommen med et tab på 5 </w:t>
      </w:r>
      <w:r w:rsidR="00F07481">
        <w:rPr>
          <w:rFonts w:eastAsia="Calibri" w:cs="Times New Roman"/>
          <w:bCs/>
          <w:color w:val="000000" w:themeColor="text1"/>
          <w:szCs w:val="24"/>
        </w:rPr>
        <w:t xml:space="preserve">mio. kr. </w:t>
      </w:r>
      <w:r w:rsidR="00B2156C" w:rsidRPr="00815B3E">
        <w:rPr>
          <w:rFonts w:eastAsia="Calibri" w:cs="Times New Roman"/>
          <w:bCs/>
          <w:color w:val="000000" w:themeColor="text1"/>
          <w:szCs w:val="24"/>
        </w:rPr>
        <w:t>efter lagerprincippet. Den resterende positive realisationssaldo på 45</w:t>
      </w:r>
      <w:r w:rsidR="00F07481">
        <w:rPr>
          <w:rFonts w:eastAsia="Calibri" w:cs="Times New Roman"/>
          <w:bCs/>
          <w:color w:val="000000" w:themeColor="text1"/>
          <w:szCs w:val="24"/>
        </w:rPr>
        <w:t xml:space="preserve"> mio. kr.</w:t>
      </w:r>
      <w:r w:rsidR="00B2156C" w:rsidRPr="00815B3E">
        <w:rPr>
          <w:rFonts w:eastAsia="Calibri" w:cs="Times New Roman"/>
          <w:bCs/>
          <w:color w:val="000000" w:themeColor="text1"/>
          <w:szCs w:val="24"/>
        </w:rPr>
        <w:t xml:space="preserve"> udløses i salgsåret, så den samlede ejendomsavance udgør 40</w:t>
      </w:r>
      <w:r w:rsidR="00F07481">
        <w:rPr>
          <w:rFonts w:eastAsia="Calibri" w:cs="Times New Roman"/>
          <w:bCs/>
          <w:color w:val="000000" w:themeColor="text1"/>
          <w:szCs w:val="24"/>
        </w:rPr>
        <w:t xml:space="preserve"> mio. kr.</w:t>
      </w:r>
      <w:r w:rsidR="00B2156C" w:rsidRPr="00815B3E">
        <w:rPr>
          <w:rFonts w:eastAsia="Calibri" w:cs="Times New Roman"/>
          <w:bCs/>
          <w:color w:val="000000" w:themeColor="text1"/>
          <w:szCs w:val="24"/>
        </w:rPr>
        <w:t xml:space="preserve">, der medregnes </w:t>
      </w:r>
      <w:r w:rsidR="00594A3D">
        <w:rPr>
          <w:rFonts w:eastAsia="Calibri" w:cs="Times New Roman"/>
          <w:bCs/>
          <w:color w:val="000000" w:themeColor="text1"/>
          <w:szCs w:val="24"/>
        </w:rPr>
        <w:t>ved opgørelsen af</w:t>
      </w:r>
      <w:r w:rsidR="00B2156C" w:rsidRPr="00815B3E">
        <w:rPr>
          <w:rFonts w:eastAsia="Calibri" w:cs="Times New Roman"/>
          <w:bCs/>
          <w:color w:val="000000" w:themeColor="text1"/>
          <w:szCs w:val="24"/>
        </w:rPr>
        <w:t xml:space="preserve"> den skattepligtige indkomst i salgsåret.  </w:t>
      </w:r>
    </w:p>
    <w:p w14:paraId="2472674B" w14:textId="6841148D" w:rsidR="00DC4636" w:rsidRPr="00815B3E" w:rsidRDefault="004A304E" w:rsidP="00981FEA">
      <w:pPr>
        <w:spacing w:after="240"/>
        <w:jc w:val="left"/>
        <w:rPr>
          <w:rFonts w:eastAsia="Calibri" w:cs="Times New Roman"/>
          <w:bCs/>
          <w:color w:val="000000" w:themeColor="text1"/>
          <w:szCs w:val="24"/>
        </w:rPr>
      </w:pPr>
      <w:r w:rsidRPr="00815B3E">
        <w:rPr>
          <w:rFonts w:eastAsia="Calibri" w:cs="Times New Roman"/>
          <w:bCs/>
          <w:color w:val="000000" w:themeColor="text1"/>
          <w:szCs w:val="24"/>
        </w:rPr>
        <w:t xml:space="preserve">Det foreslås </w:t>
      </w:r>
      <w:r w:rsidR="00D14114" w:rsidRPr="00815B3E">
        <w:rPr>
          <w:rFonts w:eastAsia="Calibri" w:cs="Times New Roman"/>
          <w:bCs/>
          <w:color w:val="000000" w:themeColor="text1"/>
          <w:szCs w:val="24"/>
        </w:rPr>
        <w:t xml:space="preserve">i </w:t>
      </w:r>
      <w:r w:rsidR="009C3102" w:rsidRPr="00815B3E">
        <w:rPr>
          <w:rFonts w:eastAsia="Calibri" w:cs="Times New Roman"/>
          <w:bCs/>
          <w:color w:val="000000" w:themeColor="text1"/>
          <w:szCs w:val="24"/>
        </w:rPr>
        <w:t>ejendomsavancebeskatningsloven</w:t>
      </w:r>
      <w:r w:rsidR="00D14114" w:rsidRPr="00815B3E">
        <w:rPr>
          <w:rFonts w:eastAsia="Calibri" w:cs="Times New Roman"/>
          <w:bCs/>
          <w:color w:val="000000" w:themeColor="text1"/>
          <w:szCs w:val="24"/>
        </w:rPr>
        <w:t xml:space="preserve"> § 14 D, </w:t>
      </w:r>
      <w:r w:rsidRPr="00815B3E">
        <w:rPr>
          <w:rFonts w:eastAsia="Calibri" w:cs="Times New Roman"/>
          <w:bCs/>
          <w:i/>
          <w:iCs/>
          <w:color w:val="000000" w:themeColor="text1"/>
          <w:szCs w:val="24"/>
        </w:rPr>
        <w:t>stk. 3</w:t>
      </w:r>
      <w:r w:rsidRPr="00815B3E">
        <w:rPr>
          <w:rFonts w:eastAsia="Calibri" w:cs="Times New Roman"/>
          <w:bCs/>
          <w:color w:val="000000" w:themeColor="text1"/>
          <w:szCs w:val="24"/>
        </w:rPr>
        <w:t>, at hvis</w:t>
      </w:r>
      <w:r w:rsidR="00DC4636" w:rsidRPr="00815B3E">
        <w:rPr>
          <w:rFonts w:eastAsia="Calibri" w:cs="Times New Roman"/>
          <w:bCs/>
          <w:color w:val="000000" w:themeColor="text1"/>
          <w:szCs w:val="24"/>
        </w:rPr>
        <w:t xml:space="preserve"> realisationssaldoen er negativ, modregnes</w:t>
      </w:r>
      <w:r w:rsidR="009B4206">
        <w:rPr>
          <w:rFonts w:eastAsia="Calibri" w:cs="Times New Roman"/>
          <w:bCs/>
          <w:color w:val="000000" w:themeColor="text1"/>
          <w:szCs w:val="24"/>
        </w:rPr>
        <w:t xml:space="preserve"> den i</w:t>
      </w:r>
      <w:r w:rsidR="00DC4636" w:rsidRPr="00815B3E">
        <w:rPr>
          <w:rFonts w:eastAsia="Calibri" w:cs="Times New Roman"/>
          <w:bCs/>
          <w:color w:val="000000" w:themeColor="text1"/>
          <w:szCs w:val="24"/>
        </w:rPr>
        <w:t xml:space="preserve"> indkomstårets</w:t>
      </w:r>
      <w:r w:rsidR="00AC7CAB" w:rsidRPr="00815B3E">
        <w:rPr>
          <w:rFonts w:eastAsia="Calibri" w:cs="Times New Roman"/>
          <w:bCs/>
          <w:color w:val="000000" w:themeColor="text1"/>
          <w:szCs w:val="24"/>
        </w:rPr>
        <w:t xml:space="preserve"> </w:t>
      </w:r>
      <w:r w:rsidR="00DC4636" w:rsidRPr="00815B3E">
        <w:rPr>
          <w:rFonts w:eastAsia="Calibri" w:cs="Times New Roman"/>
          <w:bCs/>
          <w:color w:val="000000" w:themeColor="text1"/>
          <w:szCs w:val="24"/>
        </w:rPr>
        <w:t>fortjeneste på ejendommen opgjort efter lagerprincippet, jf. § 14 A. Alene</w:t>
      </w:r>
      <w:r w:rsidR="00AC7CAB" w:rsidRPr="00815B3E">
        <w:rPr>
          <w:rFonts w:eastAsia="Calibri" w:cs="Times New Roman"/>
          <w:bCs/>
          <w:color w:val="000000" w:themeColor="text1"/>
          <w:szCs w:val="24"/>
        </w:rPr>
        <w:t xml:space="preserve"> </w:t>
      </w:r>
      <w:r w:rsidR="00DC4636" w:rsidRPr="00815B3E">
        <w:rPr>
          <w:rFonts w:eastAsia="Calibri" w:cs="Times New Roman"/>
          <w:bCs/>
          <w:color w:val="000000" w:themeColor="text1"/>
          <w:szCs w:val="24"/>
        </w:rPr>
        <w:t>den del af fortjenesten</w:t>
      </w:r>
      <w:r w:rsidR="009B4206">
        <w:rPr>
          <w:rFonts w:eastAsia="Calibri" w:cs="Times New Roman"/>
          <w:bCs/>
          <w:color w:val="000000" w:themeColor="text1"/>
          <w:szCs w:val="24"/>
        </w:rPr>
        <w:t xml:space="preserve"> på ejendommen</w:t>
      </w:r>
      <w:r w:rsidR="00DC4636" w:rsidRPr="00815B3E">
        <w:rPr>
          <w:rFonts w:eastAsia="Calibri" w:cs="Times New Roman"/>
          <w:bCs/>
          <w:color w:val="000000" w:themeColor="text1"/>
          <w:szCs w:val="24"/>
        </w:rPr>
        <w:t>, som</w:t>
      </w:r>
      <w:r w:rsidR="009B4206">
        <w:rPr>
          <w:rFonts w:eastAsia="Calibri" w:cs="Times New Roman"/>
          <w:bCs/>
          <w:color w:val="000000" w:themeColor="text1"/>
          <w:szCs w:val="24"/>
        </w:rPr>
        <w:t xml:space="preserve"> resterer efter modregning</w:t>
      </w:r>
      <w:r w:rsidR="00DC4636" w:rsidRPr="00815B3E">
        <w:rPr>
          <w:rFonts w:eastAsia="Calibri" w:cs="Times New Roman"/>
          <w:bCs/>
          <w:color w:val="000000" w:themeColor="text1"/>
          <w:szCs w:val="24"/>
        </w:rPr>
        <w:t xml:space="preserve">, </w:t>
      </w:r>
      <w:r w:rsidR="00D14114" w:rsidRPr="00815B3E">
        <w:rPr>
          <w:rFonts w:eastAsia="Calibri" w:cs="Times New Roman"/>
          <w:bCs/>
          <w:color w:val="000000" w:themeColor="text1"/>
          <w:szCs w:val="24"/>
        </w:rPr>
        <w:t xml:space="preserve">vil skulle </w:t>
      </w:r>
      <w:r w:rsidR="00DC4636" w:rsidRPr="00815B3E">
        <w:rPr>
          <w:rFonts w:eastAsia="Calibri" w:cs="Times New Roman"/>
          <w:bCs/>
          <w:color w:val="000000" w:themeColor="text1"/>
          <w:szCs w:val="24"/>
        </w:rPr>
        <w:t>medregnes ved opgørelsen</w:t>
      </w:r>
      <w:r w:rsidR="00AC7CAB" w:rsidRPr="00815B3E">
        <w:rPr>
          <w:rFonts w:eastAsia="Calibri" w:cs="Times New Roman"/>
          <w:bCs/>
          <w:color w:val="000000" w:themeColor="text1"/>
          <w:szCs w:val="24"/>
        </w:rPr>
        <w:t xml:space="preserve"> </w:t>
      </w:r>
      <w:r w:rsidR="00DC4636" w:rsidRPr="00815B3E">
        <w:rPr>
          <w:rFonts w:eastAsia="Calibri" w:cs="Times New Roman"/>
          <w:bCs/>
          <w:color w:val="000000" w:themeColor="text1"/>
          <w:szCs w:val="24"/>
        </w:rPr>
        <w:t>af den skattepligtige indkomst. Hvis realisationssaldoen efter årets</w:t>
      </w:r>
      <w:r w:rsidR="00AC7CAB" w:rsidRPr="00815B3E">
        <w:rPr>
          <w:rFonts w:eastAsia="Calibri" w:cs="Times New Roman"/>
          <w:bCs/>
          <w:color w:val="000000" w:themeColor="text1"/>
          <w:szCs w:val="24"/>
        </w:rPr>
        <w:t xml:space="preserve"> </w:t>
      </w:r>
      <w:r w:rsidR="00DC4636" w:rsidRPr="00815B3E">
        <w:rPr>
          <w:rFonts w:eastAsia="Calibri" w:cs="Times New Roman"/>
          <w:bCs/>
          <w:color w:val="000000" w:themeColor="text1"/>
          <w:szCs w:val="24"/>
        </w:rPr>
        <w:t xml:space="preserve">modregning fortsat er negativ, </w:t>
      </w:r>
      <w:r w:rsidR="00D14114" w:rsidRPr="00815B3E">
        <w:rPr>
          <w:rFonts w:eastAsia="Calibri" w:cs="Times New Roman"/>
          <w:bCs/>
          <w:color w:val="000000" w:themeColor="text1"/>
          <w:szCs w:val="24"/>
        </w:rPr>
        <w:t xml:space="preserve">vil </w:t>
      </w:r>
      <w:r w:rsidR="00DC4636" w:rsidRPr="00815B3E">
        <w:rPr>
          <w:rFonts w:eastAsia="Calibri" w:cs="Times New Roman"/>
          <w:bCs/>
          <w:color w:val="000000" w:themeColor="text1"/>
          <w:szCs w:val="24"/>
        </w:rPr>
        <w:t>restsaldoen</w:t>
      </w:r>
      <w:r w:rsidR="00D14114" w:rsidRPr="00815B3E">
        <w:rPr>
          <w:rFonts w:eastAsia="Calibri" w:cs="Times New Roman"/>
          <w:bCs/>
          <w:color w:val="000000" w:themeColor="text1"/>
          <w:szCs w:val="24"/>
        </w:rPr>
        <w:t xml:space="preserve"> skulle fremføres</w:t>
      </w:r>
      <w:r w:rsidR="00DC4636" w:rsidRPr="00815B3E">
        <w:rPr>
          <w:rFonts w:eastAsia="Calibri" w:cs="Times New Roman"/>
          <w:bCs/>
          <w:color w:val="000000" w:themeColor="text1"/>
          <w:szCs w:val="24"/>
        </w:rPr>
        <w:t xml:space="preserve"> til efterfølgende</w:t>
      </w:r>
      <w:r w:rsidR="00AC7CAB" w:rsidRPr="00815B3E">
        <w:rPr>
          <w:rFonts w:eastAsia="Calibri" w:cs="Times New Roman"/>
          <w:bCs/>
          <w:color w:val="000000" w:themeColor="text1"/>
          <w:szCs w:val="24"/>
        </w:rPr>
        <w:t xml:space="preserve"> </w:t>
      </w:r>
      <w:r w:rsidR="00DC4636" w:rsidRPr="00815B3E">
        <w:rPr>
          <w:rFonts w:eastAsia="Calibri" w:cs="Times New Roman"/>
          <w:bCs/>
          <w:color w:val="000000" w:themeColor="text1"/>
          <w:szCs w:val="24"/>
        </w:rPr>
        <w:t xml:space="preserve">indkomstår. En negativ saldo </w:t>
      </w:r>
      <w:r w:rsidR="00D14114" w:rsidRPr="00815B3E">
        <w:rPr>
          <w:rFonts w:eastAsia="Calibri" w:cs="Times New Roman"/>
          <w:bCs/>
          <w:color w:val="000000" w:themeColor="text1"/>
          <w:szCs w:val="24"/>
        </w:rPr>
        <w:t>vil</w:t>
      </w:r>
      <w:r w:rsidR="00DC4636" w:rsidRPr="00815B3E">
        <w:rPr>
          <w:rFonts w:eastAsia="Calibri" w:cs="Times New Roman"/>
          <w:bCs/>
          <w:color w:val="000000" w:themeColor="text1"/>
          <w:szCs w:val="24"/>
        </w:rPr>
        <w:t xml:space="preserve"> alene</w:t>
      </w:r>
      <w:r w:rsidR="00D14114" w:rsidRPr="00815B3E">
        <w:rPr>
          <w:rFonts w:eastAsia="Calibri" w:cs="Times New Roman"/>
          <w:bCs/>
          <w:color w:val="000000" w:themeColor="text1"/>
          <w:szCs w:val="24"/>
        </w:rPr>
        <w:t xml:space="preserve"> kunne</w:t>
      </w:r>
      <w:r w:rsidR="00DC4636" w:rsidRPr="00815B3E">
        <w:rPr>
          <w:rFonts w:eastAsia="Calibri" w:cs="Times New Roman"/>
          <w:bCs/>
          <w:color w:val="000000" w:themeColor="text1"/>
          <w:szCs w:val="24"/>
        </w:rPr>
        <w:t xml:space="preserve"> fremføres til et senere indkomstår,</w:t>
      </w:r>
      <w:r w:rsidR="00AC7CAB" w:rsidRPr="00815B3E">
        <w:rPr>
          <w:rFonts w:eastAsia="Calibri" w:cs="Times New Roman"/>
          <w:bCs/>
          <w:color w:val="000000" w:themeColor="text1"/>
          <w:szCs w:val="24"/>
        </w:rPr>
        <w:t xml:space="preserve"> </w:t>
      </w:r>
      <w:r w:rsidR="00DC4636" w:rsidRPr="00815B3E">
        <w:rPr>
          <w:rFonts w:eastAsia="Calibri" w:cs="Times New Roman"/>
          <w:bCs/>
          <w:color w:val="000000" w:themeColor="text1"/>
          <w:szCs w:val="24"/>
        </w:rPr>
        <w:t>i det omfang den ikke kan rummes i et tidli</w:t>
      </w:r>
      <w:r w:rsidR="00DC4636" w:rsidRPr="00815B3E">
        <w:rPr>
          <w:rFonts w:eastAsia="Calibri" w:cs="Times New Roman"/>
          <w:bCs/>
          <w:color w:val="000000" w:themeColor="text1"/>
          <w:szCs w:val="24"/>
        </w:rPr>
        <w:lastRenderedPageBreak/>
        <w:t>gere års fortjeneste. Hvis</w:t>
      </w:r>
      <w:r w:rsidR="00AC7CAB" w:rsidRPr="00815B3E">
        <w:rPr>
          <w:rFonts w:eastAsia="Calibri" w:cs="Times New Roman"/>
          <w:bCs/>
          <w:color w:val="000000" w:themeColor="text1"/>
          <w:szCs w:val="24"/>
        </w:rPr>
        <w:t xml:space="preserve"> </w:t>
      </w:r>
      <w:r w:rsidR="00DC4636" w:rsidRPr="00815B3E">
        <w:rPr>
          <w:rFonts w:eastAsia="Calibri" w:cs="Times New Roman"/>
          <w:bCs/>
          <w:color w:val="000000" w:themeColor="text1"/>
          <w:szCs w:val="24"/>
        </w:rPr>
        <w:t xml:space="preserve">saldoen fortsat er negativ ved afståelse af ejendommen, </w:t>
      </w:r>
      <w:r w:rsidR="00D14114" w:rsidRPr="00815B3E">
        <w:rPr>
          <w:rFonts w:eastAsia="Calibri" w:cs="Times New Roman"/>
          <w:bCs/>
          <w:color w:val="000000" w:themeColor="text1"/>
          <w:szCs w:val="24"/>
        </w:rPr>
        <w:t xml:space="preserve">vil </w:t>
      </w:r>
      <w:r w:rsidR="00DC4636" w:rsidRPr="00815B3E">
        <w:rPr>
          <w:rFonts w:eastAsia="Calibri" w:cs="Times New Roman"/>
          <w:bCs/>
          <w:color w:val="000000" w:themeColor="text1"/>
          <w:szCs w:val="24"/>
        </w:rPr>
        <w:t>et beløb</w:t>
      </w:r>
      <w:r w:rsidR="00AC7CAB" w:rsidRPr="00815B3E">
        <w:rPr>
          <w:rFonts w:eastAsia="Calibri" w:cs="Times New Roman"/>
          <w:bCs/>
          <w:color w:val="000000" w:themeColor="text1"/>
          <w:szCs w:val="24"/>
        </w:rPr>
        <w:t xml:space="preserve"> </w:t>
      </w:r>
      <w:r w:rsidR="00DC4636" w:rsidRPr="00815B3E">
        <w:rPr>
          <w:rFonts w:eastAsia="Calibri" w:cs="Times New Roman"/>
          <w:bCs/>
          <w:color w:val="000000" w:themeColor="text1"/>
          <w:szCs w:val="24"/>
        </w:rPr>
        <w:t>svarende til den negative restsaldo</w:t>
      </w:r>
      <w:r w:rsidR="00D14114" w:rsidRPr="00815B3E">
        <w:rPr>
          <w:rFonts w:eastAsia="Calibri" w:cs="Times New Roman"/>
          <w:bCs/>
          <w:color w:val="000000" w:themeColor="text1"/>
          <w:szCs w:val="24"/>
        </w:rPr>
        <w:t xml:space="preserve"> kunne fratrækkes</w:t>
      </w:r>
      <w:r w:rsidR="00DC4636" w:rsidRPr="00815B3E">
        <w:rPr>
          <w:rFonts w:eastAsia="Calibri" w:cs="Times New Roman"/>
          <w:bCs/>
          <w:color w:val="000000" w:themeColor="text1"/>
          <w:szCs w:val="24"/>
        </w:rPr>
        <w:t xml:space="preserve"> ved opgørelsen af den skattepligtige</w:t>
      </w:r>
      <w:r w:rsidR="00AC7CAB" w:rsidRPr="00815B3E">
        <w:rPr>
          <w:rFonts w:eastAsia="Calibri" w:cs="Times New Roman"/>
          <w:bCs/>
          <w:color w:val="000000" w:themeColor="text1"/>
          <w:szCs w:val="24"/>
        </w:rPr>
        <w:t xml:space="preserve"> </w:t>
      </w:r>
      <w:r w:rsidR="00DC4636" w:rsidRPr="00815B3E">
        <w:rPr>
          <w:rFonts w:eastAsia="Calibri" w:cs="Times New Roman"/>
          <w:bCs/>
          <w:color w:val="000000" w:themeColor="text1"/>
          <w:szCs w:val="24"/>
        </w:rPr>
        <w:t>indkomst i afståelsesåret.</w:t>
      </w:r>
    </w:p>
    <w:p w14:paraId="704CF839" w14:textId="23BE4A87" w:rsidR="00AE68B4" w:rsidRPr="00815B3E" w:rsidRDefault="00AE68B4" w:rsidP="00AE68B4">
      <w:pPr>
        <w:spacing w:after="240"/>
        <w:jc w:val="left"/>
        <w:rPr>
          <w:rFonts w:eastAsia="Calibri" w:cs="Times New Roman"/>
          <w:bCs/>
          <w:color w:val="000000" w:themeColor="text1"/>
          <w:szCs w:val="24"/>
        </w:rPr>
      </w:pPr>
      <w:r w:rsidRPr="00815B3E">
        <w:rPr>
          <w:rFonts w:eastAsia="Calibri" w:cs="Times New Roman"/>
          <w:bCs/>
          <w:color w:val="000000" w:themeColor="text1"/>
          <w:szCs w:val="24"/>
        </w:rPr>
        <w:t xml:space="preserve">Den foreslåede bestemmelse </w:t>
      </w:r>
      <w:r w:rsidR="00FA5729">
        <w:rPr>
          <w:rFonts w:eastAsia="Calibri" w:cs="Times New Roman"/>
          <w:bCs/>
          <w:color w:val="000000" w:themeColor="text1"/>
          <w:szCs w:val="24"/>
        </w:rPr>
        <w:t>om</w:t>
      </w:r>
      <w:r w:rsidRPr="00815B3E">
        <w:rPr>
          <w:rFonts w:eastAsia="Calibri" w:cs="Times New Roman"/>
          <w:bCs/>
          <w:color w:val="000000" w:themeColor="text1"/>
          <w:szCs w:val="24"/>
        </w:rPr>
        <w:t xml:space="preserve">handler det scenarie, hvor der har været et samlet </w:t>
      </w:r>
      <w:proofErr w:type="spellStart"/>
      <w:r w:rsidRPr="00815B3E">
        <w:rPr>
          <w:rFonts w:eastAsia="Calibri" w:cs="Times New Roman"/>
          <w:bCs/>
          <w:color w:val="000000" w:themeColor="text1"/>
          <w:szCs w:val="24"/>
        </w:rPr>
        <w:t>urealiseret</w:t>
      </w:r>
      <w:proofErr w:type="spellEnd"/>
      <w:r w:rsidRPr="00815B3E">
        <w:rPr>
          <w:rFonts w:eastAsia="Calibri" w:cs="Times New Roman"/>
          <w:bCs/>
          <w:color w:val="000000" w:themeColor="text1"/>
          <w:szCs w:val="24"/>
        </w:rPr>
        <w:t xml:space="preserve"> tab på en ejendom i perioden fra ejendommens anskaffelse og frem til ejendommens overgang fra realisationsbeskatning til lagerbeskatning. </w:t>
      </w:r>
    </w:p>
    <w:p w14:paraId="16B98FE3" w14:textId="584410A2" w:rsidR="00D14114" w:rsidRPr="00815B3E" w:rsidRDefault="00D14114" w:rsidP="0000061C">
      <w:pPr>
        <w:spacing w:after="240"/>
        <w:jc w:val="left"/>
        <w:rPr>
          <w:rFonts w:eastAsia="Calibri" w:cs="Times New Roman"/>
          <w:bCs/>
          <w:color w:val="000000" w:themeColor="text1"/>
          <w:szCs w:val="24"/>
        </w:rPr>
      </w:pPr>
      <w:r w:rsidRPr="00815B3E">
        <w:rPr>
          <w:rFonts w:eastAsia="Calibri" w:cs="Times New Roman"/>
          <w:bCs/>
          <w:color w:val="000000" w:themeColor="text1"/>
          <w:szCs w:val="24"/>
        </w:rPr>
        <w:t xml:space="preserve">Det </w:t>
      </w:r>
      <w:r w:rsidR="0000061C" w:rsidRPr="00815B3E">
        <w:rPr>
          <w:rFonts w:eastAsia="Calibri" w:cs="Times New Roman"/>
          <w:bCs/>
          <w:color w:val="000000" w:themeColor="text1"/>
          <w:szCs w:val="24"/>
        </w:rPr>
        <w:t xml:space="preserve">foreslås </w:t>
      </w:r>
      <w:r w:rsidRPr="00815B3E">
        <w:rPr>
          <w:rFonts w:eastAsia="Calibri" w:cs="Times New Roman"/>
          <w:bCs/>
          <w:color w:val="000000" w:themeColor="text1"/>
          <w:szCs w:val="24"/>
        </w:rPr>
        <w:t>således</w:t>
      </w:r>
      <w:r w:rsidR="0000061C" w:rsidRPr="00815B3E">
        <w:rPr>
          <w:rFonts w:eastAsia="Calibri" w:cs="Times New Roman"/>
          <w:bCs/>
          <w:color w:val="000000" w:themeColor="text1"/>
          <w:szCs w:val="24"/>
        </w:rPr>
        <w:t xml:space="preserve">, at </w:t>
      </w:r>
      <w:r w:rsidR="00A5296C" w:rsidRPr="00815B3E">
        <w:rPr>
          <w:rFonts w:eastAsia="Calibri" w:cs="Times New Roman"/>
          <w:bCs/>
          <w:color w:val="000000" w:themeColor="text1"/>
          <w:szCs w:val="24"/>
        </w:rPr>
        <w:t>gevinster</w:t>
      </w:r>
      <w:r w:rsidR="0000061C" w:rsidRPr="00815B3E">
        <w:rPr>
          <w:rFonts w:eastAsia="Calibri" w:cs="Times New Roman"/>
          <w:bCs/>
          <w:color w:val="000000" w:themeColor="text1"/>
          <w:szCs w:val="24"/>
        </w:rPr>
        <w:t>, som</w:t>
      </w:r>
      <w:r w:rsidRPr="00815B3E">
        <w:rPr>
          <w:rFonts w:eastAsia="Calibri" w:cs="Times New Roman"/>
          <w:bCs/>
          <w:color w:val="000000" w:themeColor="text1"/>
          <w:szCs w:val="24"/>
        </w:rPr>
        <w:t xml:space="preserve"> efter lagerprincippet</w:t>
      </w:r>
      <w:r w:rsidR="0000061C" w:rsidRPr="00815B3E">
        <w:rPr>
          <w:rFonts w:eastAsia="Calibri" w:cs="Times New Roman"/>
          <w:bCs/>
          <w:color w:val="000000" w:themeColor="text1"/>
          <w:szCs w:val="24"/>
        </w:rPr>
        <w:t xml:space="preserve"> opstår i løbet af den periode, hvor ejendommen lagerbeskattes, </w:t>
      </w:r>
      <w:r w:rsidRPr="00815B3E">
        <w:rPr>
          <w:rFonts w:eastAsia="Calibri" w:cs="Times New Roman"/>
          <w:bCs/>
          <w:color w:val="000000" w:themeColor="text1"/>
          <w:szCs w:val="24"/>
        </w:rPr>
        <w:t>ikke vil skulle</w:t>
      </w:r>
      <w:r w:rsidR="0000061C" w:rsidRPr="00815B3E">
        <w:rPr>
          <w:rFonts w:eastAsia="Calibri" w:cs="Times New Roman"/>
          <w:bCs/>
          <w:color w:val="000000" w:themeColor="text1"/>
          <w:szCs w:val="24"/>
        </w:rPr>
        <w:t xml:space="preserve"> </w:t>
      </w:r>
      <w:r w:rsidRPr="00815B3E">
        <w:rPr>
          <w:rFonts w:eastAsia="Calibri" w:cs="Times New Roman"/>
          <w:bCs/>
          <w:color w:val="000000" w:themeColor="text1"/>
          <w:szCs w:val="24"/>
        </w:rPr>
        <w:t>beskattes, i det omfang der eksisterer en negativ realisationssaldo på ejendommen</w:t>
      </w:r>
      <w:r w:rsidR="00B470E5">
        <w:rPr>
          <w:rFonts w:eastAsia="Calibri" w:cs="Times New Roman"/>
          <w:bCs/>
          <w:color w:val="000000" w:themeColor="text1"/>
          <w:szCs w:val="24"/>
        </w:rPr>
        <w:t>. Det vil være</w:t>
      </w:r>
      <w:r w:rsidR="00AE68B4" w:rsidRPr="00815B3E">
        <w:rPr>
          <w:rFonts w:eastAsia="Calibri" w:cs="Times New Roman"/>
          <w:bCs/>
          <w:color w:val="000000" w:themeColor="text1"/>
          <w:szCs w:val="24"/>
        </w:rPr>
        <w:t xml:space="preserve"> udtryk for, at der samlet set </w:t>
      </w:r>
      <w:r w:rsidR="00B470E5">
        <w:rPr>
          <w:rFonts w:eastAsia="Calibri" w:cs="Times New Roman"/>
          <w:bCs/>
          <w:color w:val="000000" w:themeColor="text1"/>
          <w:szCs w:val="24"/>
        </w:rPr>
        <w:t>ikke har været gevinst på ejendommen i ejertiden</w:t>
      </w:r>
      <w:r w:rsidRPr="00815B3E">
        <w:rPr>
          <w:rFonts w:eastAsia="Calibri" w:cs="Times New Roman"/>
          <w:bCs/>
          <w:color w:val="000000" w:themeColor="text1"/>
          <w:szCs w:val="24"/>
        </w:rPr>
        <w:t>.</w:t>
      </w:r>
      <w:r w:rsidR="00E76C5B" w:rsidRPr="00815B3E">
        <w:rPr>
          <w:rFonts w:eastAsia="Calibri" w:cs="Times New Roman"/>
          <w:bCs/>
          <w:color w:val="000000" w:themeColor="text1"/>
          <w:szCs w:val="24"/>
        </w:rPr>
        <w:t xml:space="preserve"> Der foreslås således indført en begrænsning i beskatningen af gevinster, der opstår efter lagerbeskatningens indførelse for ejendomme, så beskatningen af en værdistigning først</w:t>
      </w:r>
      <w:r w:rsidR="00F07481">
        <w:rPr>
          <w:rFonts w:eastAsia="Calibri" w:cs="Times New Roman"/>
          <w:bCs/>
          <w:color w:val="000000" w:themeColor="text1"/>
          <w:szCs w:val="24"/>
        </w:rPr>
        <w:t xml:space="preserve"> skal</w:t>
      </w:r>
      <w:r w:rsidR="00E76C5B" w:rsidRPr="00815B3E">
        <w:rPr>
          <w:rFonts w:eastAsia="Calibri" w:cs="Times New Roman"/>
          <w:bCs/>
          <w:color w:val="000000" w:themeColor="text1"/>
          <w:szCs w:val="24"/>
        </w:rPr>
        <w:t xml:space="preserve"> indtræde, når de tab, der blev konstateret efter realisationsprincippet ved ejendommens overgang fra realisationsprincip til lagerprincip, er udnyttet. </w:t>
      </w:r>
    </w:p>
    <w:p w14:paraId="3BCA5C95" w14:textId="5AF64881" w:rsidR="00E76C5B" w:rsidRPr="00815B3E" w:rsidRDefault="00E76C5B" w:rsidP="0000061C">
      <w:pPr>
        <w:spacing w:after="240"/>
        <w:jc w:val="left"/>
        <w:rPr>
          <w:rFonts w:eastAsia="Calibri" w:cs="Times New Roman"/>
          <w:bCs/>
          <w:color w:val="000000" w:themeColor="text1"/>
          <w:szCs w:val="24"/>
        </w:rPr>
      </w:pPr>
      <w:r w:rsidRPr="00815B3E">
        <w:rPr>
          <w:rFonts w:eastAsia="Calibri" w:cs="Times New Roman"/>
          <w:bCs/>
          <w:color w:val="000000" w:themeColor="text1"/>
          <w:szCs w:val="24"/>
        </w:rPr>
        <w:t>Det findes således ikke rimeligt at beskatte en efterfølgende lagergevinst i tilfælde, hvor der samlet set for den pågældende ejendom ikke kan konstateres nogen gevinst.</w:t>
      </w:r>
    </w:p>
    <w:p w14:paraId="251CAF69" w14:textId="0A858B7D" w:rsidR="00E76C5B" w:rsidRPr="00815B3E" w:rsidRDefault="00B470E5" w:rsidP="0000061C">
      <w:pPr>
        <w:spacing w:after="240"/>
        <w:jc w:val="left"/>
        <w:rPr>
          <w:rFonts w:eastAsia="Calibri" w:cs="Times New Roman"/>
          <w:bCs/>
          <w:color w:val="000000" w:themeColor="text1"/>
          <w:szCs w:val="24"/>
        </w:rPr>
      </w:pPr>
      <w:r>
        <w:rPr>
          <w:rFonts w:eastAsia="Calibri" w:cs="Times New Roman"/>
          <w:bCs/>
          <w:color w:val="000000" w:themeColor="text1"/>
          <w:szCs w:val="24"/>
        </w:rPr>
        <w:t>Efter forslaget skal den</w:t>
      </w:r>
      <w:r w:rsidR="00A5296C" w:rsidRPr="00815B3E">
        <w:rPr>
          <w:rFonts w:eastAsia="Calibri" w:cs="Times New Roman"/>
          <w:bCs/>
          <w:color w:val="000000" w:themeColor="text1"/>
          <w:szCs w:val="24"/>
        </w:rPr>
        <w:t xml:space="preserve"> </w:t>
      </w:r>
      <w:r w:rsidR="00205E8A" w:rsidRPr="00815B3E">
        <w:rPr>
          <w:rFonts w:eastAsia="Calibri" w:cs="Times New Roman"/>
          <w:bCs/>
          <w:color w:val="000000" w:themeColor="text1"/>
          <w:szCs w:val="24"/>
        </w:rPr>
        <w:t>negative</w:t>
      </w:r>
      <w:r w:rsidR="0000061C" w:rsidRPr="00815B3E">
        <w:rPr>
          <w:rFonts w:eastAsia="Calibri" w:cs="Times New Roman"/>
          <w:bCs/>
          <w:color w:val="000000" w:themeColor="text1"/>
          <w:szCs w:val="24"/>
        </w:rPr>
        <w:t xml:space="preserve"> realisationssaldo</w:t>
      </w:r>
      <w:r>
        <w:rPr>
          <w:rFonts w:eastAsia="Calibri" w:cs="Times New Roman"/>
          <w:bCs/>
          <w:color w:val="000000" w:themeColor="text1"/>
          <w:szCs w:val="24"/>
        </w:rPr>
        <w:t xml:space="preserve"> modregnes</w:t>
      </w:r>
      <w:r w:rsidR="0000061C" w:rsidRPr="00815B3E">
        <w:rPr>
          <w:rFonts w:eastAsia="Calibri" w:cs="Times New Roman"/>
          <w:bCs/>
          <w:color w:val="000000" w:themeColor="text1"/>
          <w:szCs w:val="24"/>
        </w:rPr>
        <w:t>, før</w:t>
      </w:r>
      <w:r>
        <w:rPr>
          <w:rFonts w:eastAsia="Calibri" w:cs="Times New Roman"/>
          <w:bCs/>
          <w:color w:val="000000" w:themeColor="text1"/>
          <w:szCs w:val="24"/>
        </w:rPr>
        <w:t xml:space="preserve"> en efterfølgende</w:t>
      </w:r>
      <w:r w:rsidR="00AE68B4" w:rsidRPr="00815B3E">
        <w:rPr>
          <w:rFonts w:eastAsia="Calibri" w:cs="Times New Roman"/>
          <w:bCs/>
          <w:color w:val="000000" w:themeColor="text1"/>
          <w:szCs w:val="24"/>
        </w:rPr>
        <w:t xml:space="preserve"> </w:t>
      </w:r>
      <w:r w:rsidR="00205E8A" w:rsidRPr="00815B3E">
        <w:rPr>
          <w:rFonts w:eastAsia="Calibri" w:cs="Times New Roman"/>
          <w:bCs/>
          <w:color w:val="000000" w:themeColor="text1"/>
          <w:szCs w:val="24"/>
        </w:rPr>
        <w:t>gevinst</w:t>
      </w:r>
      <w:r>
        <w:rPr>
          <w:rFonts w:eastAsia="Calibri" w:cs="Times New Roman"/>
          <w:bCs/>
          <w:color w:val="000000" w:themeColor="text1"/>
          <w:szCs w:val="24"/>
        </w:rPr>
        <w:t xml:space="preserve"> efter lagerbeskatningen</w:t>
      </w:r>
      <w:r w:rsidR="0000061C" w:rsidRPr="00815B3E">
        <w:rPr>
          <w:rFonts w:eastAsia="Calibri" w:cs="Times New Roman"/>
          <w:bCs/>
          <w:color w:val="000000" w:themeColor="text1"/>
          <w:szCs w:val="24"/>
        </w:rPr>
        <w:t xml:space="preserve"> </w:t>
      </w:r>
      <w:r w:rsidR="00205E8A" w:rsidRPr="00815B3E">
        <w:rPr>
          <w:rFonts w:eastAsia="Calibri" w:cs="Times New Roman"/>
          <w:bCs/>
          <w:color w:val="000000" w:themeColor="text1"/>
          <w:szCs w:val="24"/>
        </w:rPr>
        <w:t>skal</w:t>
      </w:r>
      <w:r w:rsidR="0000061C" w:rsidRPr="00815B3E">
        <w:rPr>
          <w:rFonts w:eastAsia="Calibri" w:cs="Times New Roman"/>
          <w:bCs/>
          <w:color w:val="000000" w:themeColor="text1"/>
          <w:szCs w:val="24"/>
        </w:rPr>
        <w:t xml:space="preserve"> medregnes i den skattepligtige indkomst. En </w:t>
      </w:r>
      <w:r w:rsidR="00205E8A" w:rsidRPr="00815B3E">
        <w:rPr>
          <w:rFonts w:eastAsia="Calibri" w:cs="Times New Roman"/>
          <w:bCs/>
          <w:color w:val="000000" w:themeColor="text1"/>
          <w:szCs w:val="24"/>
        </w:rPr>
        <w:t>negativ</w:t>
      </w:r>
      <w:r w:rsidR="0000061C" w:rsidRPr="00815B3E">
        <w:rPr>
          <w:rFonts w:eastAsia="Calibri" w:cs="Times New Roman"/>
          <w:bCs/>
          <w:color w:val="000000" w:themeColor="text1"/>
          <w:szCs w:val="24"/>
        </w:rPr>
        <w:t xml:space="preserve"> realisationssaldo </w:t>
      </w:r>
      <w:r w:rsidR="00E76C5B" w:rsidRPr="00815B3E">
        <w:rPr>
          <w:rFonts w:eastAsia="Calibri" w:cs="Times New Roman"/>
          <w:bCs/>
          <w:color w:val="000000" w:themeColor="text1"/>
          <w:szCs w:val="24"/>
        </w:rPr>
        <w:t xml:space="preserve">vil </w:t>
      </w:r>
      <w:r w:rsidR="0000061C" w:rsidRPr="00815B3E">
        <w:rPr>
          <w:rFonts w:eastAsia="Calibri" w:cs="Times New Roman"/>
          <w:bCs/>
          <w:color w:val="000000" w:themeColor="text1"/>
          <w:szCs w:val="24"/>
        </w:rPr>
        <w:t>altid</w:t>
      </w:r>
      <w:r w:rsidR="00E76C5B" w:rsidRPr="00815B3E">
        <w:rPr>
          <w:rFonts w:eastAsia="Calibri" w:cs="Times New Roman"/>
          <w:bCs/>
          <w:color w:val="000000" w:themeColor="text1"/>
          <w:szCs w:val="24"/>
        </w:rPr>
        <w:t xml:space="preserve"> skulle</w:t>
      </w:r>
      <w:r w:rsidR="0000061C" w:rsidRPr="00815B3E">
        <w:rPr>
          <w:rFonts w:eastAsia="Calibri" w:cs="Times New Roman"/>
          <w:bCs/>
          <w:color w:val="000000" w:themeColor="text1"/>
          <w:szCs w:val="24"/>
        </w:rPr>
        <w:t xml:space="preserve"> fremføres til efterfølgende indkomstår, såfremt den ikke kan rummes i et tidligere års </w:t>
      </w:r>
      <w:r w:rsidR="00205E8A" w:rsidRPr="00815B3E">
        <w:rPr>
          <w:rFonts w:eastAsia="Calibri" w:cs="Times New Roman"/>
          <w:bCs/>
          <w:color w:val="000000" w:themeColor="text1"/>
          <w:szCs w:val="24"/>
        </w:rPr>
        <w:t>gevinster</w:t>
      </w:r>
      <w:r w:rsidR="0000061C" w:rsidRPr="00815B3E">
        <w:rPr>
          <w:rFonts w:eastAsia="Calibri" w:cs="Times New Roman"/>
          <w:bCs/>
          <w:color w:val="000000" w:themeColor="text1"/>
          <w:szCs w:val="24"/>
        </w:rPr>
        <w:t xml:space="preserve"> på ejendommen. Sælges ejendommen</w:t>
      </w:r>
      <w:r w:rsidR="00E76C5B" w:rsidRPr="00815B3E">
        <w:rPr>
          <w:rFonts w:eastAsia="Calibri" w:cs="Times New Roman"/>
          <w:bCs/>
          <w:color w:val="000000" w:themeColor="text1"/>
          <w:szCs w:val="24"/>
        </w:rPr>
        <w:t xml:space="preserve"> på et tidspunkt, hvor der fortsat resterer en negativ realisations</w:t>
      </w:r>
      <w:r w:rsidR="0000061C" w:rsidRPr="00815B3E">
        <w:rPr>
          <w:rFonts w:eastAsia="Calibri" w:cs="Times New Roman"/>
          <w:bCs/>
          <w:color w:val="000000" w:themeColor="text1"/>
          <w:szCs w:val="24"/>
        </w:rPr>
        <w:t xml:space="preserve">saldo, </w:t>
      </w:r>
      <w:r w:rsidR="00205E8A" w:rsidRPr="00815B3E">
        <w:rPr>
          <w:rFonts w:eastAsia="Calibri" w:cs="Times New Roman"/>
          <w:bCs/>
          <w:color w:val="000000" w:themeColor="text1"/>
          <w:szCs w:val="24"/>
        </w:rPr>
        <w:t xml:space="preserve">kan </w:t>
      </w:r>
      <w:r w:rsidR="00E76C5B" w:rsidRPr="00815B3E">
        <w:rPr>
          <w:rFonts w:eastAsia="Calibri" w:cs="Times New Roman"/>
          <w:bCs/>
          <w:color w:val="000000" w:themeColor="text1"/>
          <w:szCs w:val="24"/>
        </w:rPr>
        <w:t xml:space="preserve">et beløb svarende til den negative restsaldo </w:t>
      </w:r>
      <w:r w:rsidR="00AE68B4" w:rsidRPr="00815B3E">
        <w:rPr>
          <w:rFonts w:eastAsia="Calibri" w:cs="Times New Roman"/>
          <w:bCs/>
          <w:color w:val="000000" w:themeColor="text1"/>
          <w:szCs w:val="24"/>
        </w:rPr>
        <w:t xml:space="preserve">efter forslaget </w:t>
      </w:r>
      <w:r w:rsidR="00E76C5B" w:rsidRPr="00815B3E">
        <w:rPr>
          <w:rFonts w:eastAsia="Calibri" w:cs="Times New Roman"/>
          <w:bCs/>
          <w:color w:val="000000" w:themeColor="text1"/>
          <w:szCs w:val="24"/>
        </w:rPr>
        <w:t xml:space="preserve">fratrækkes ved opgørelsen af </w:t>
      </w:r>
      <w:r w:rsidR="0000061C" w:rsidRPr="00815B3E">
        <w:rPr>
          <w:rFonts w:eastAsia="Calibri" w:cs="Times New Roman"/>
          <w:bCs/>
          <w:color w:val="000000" w:themeColor="text1"/>
          <w:szCs w:val="24"/>
        </w:rPr>
        <w:t>den skattepligtige indkomst.</w:t>
      </w:r>
    </w:p>
    <w:p w14:paraId="755316CF" w14:textId="4044F1C8" w:rsidR="0000061C" w:rsidRPr="00815B3E" w:rsidRDefault="00E76C5B" w:rsidP="0000061C">
      <w:pPr>
        <w:spacing w:after="240"/>
        <w:jc w:val="left"/>
        <w:rPr>
          <w:rFonts w:eastAsia="Calibri" w:cs="Times New Roman"/>
          <w:bCs/>
          <w:color w:val="000000" w:themeColor="text1"/>
          <w:szCs w:val="24"/>
        </w:rPr>
      </w:pPr>
      <w:r w:rsidRPr="00815B3E">
        <w:rPr>
          <w:rFonts w:eastAsia="Calibri" w:cs="Times New Roman"/>
          <w:bCs/>
          <w:color w:val="000000" w:themeColor="text1"/>
          <w:szCs w:val="24"/>
        </w:rPr>
        <w:t>Efter forslaget vil et sådant tab, som den negative realisationssaldo er udtryk for</w:t>
      </w:r>
      <w:r w:rsidR="00FA5729">
        <w:rPr>
          <w:rFonts w:eastAsia="Calibri" w:cs="Times New Roman"/>
          <w:bCs/>
          <w:color w:val="000000" w:themeColor="text1"/>
          <w:szCs w:val="24"/>
        </w:rPr>
        <w:t>,</w:t>
      </w:r>
      <w:r w:rsidRPr="00815B3E">
        <w:rPr>
          <w:rFonts w:eastAsia="Calibri" w:cs="Times New Roman"/>
          <w:bCs/>
          <w:color w:val="000000" w:themeColor="text1"/>
          <w:szCs w:val="24"/>
        </w:rPr>
        <w:t xml:space="preserve"> </w:t>
      </w:r>
      <w:r w:rsidR="00186875" w:rsidRPr="00815B3E">
        <w:rPr>
          <w:rFonts w:eastAsia="Calibri" w:cs="Times New Roman"/>
          <w:bCs/>
          <w:color w:val="000000" w:themeColor="text1"/>
          <w:szCs w:val="24"/>
        </w:rPr>
        <w:t xml:space="preserve">ikke være kildeartsbegrænset, men det vil efter forslaget </w:t>
      </w:r>
      <w:r w:rsidRPr="00815B3E">
        <w:rPr>
          <w:rFonts w:eastAsia="Calibri" w:cs="Times New Roman"/>
          <w:bCs/>
          <w:color w:val="000000" w:themeColor="text1"/>
          <w:szCs w:val="24"/>
        </w:rPr>
        <w:t>kunne fratrækkes ved opgørelsen af den skattepligtige indkomst. Tabet</w:t>
      </w:r>
      <w:r w:rsidR="00B470E5">
        <w:rPr>
          <w:rFonts w:eastAsia="Calibri" w:cs="Times New Roman"/>
          <w:bCs/>
          <w:color w:val="000000" w:themeColor="text1"/>
          <w:szCs w:val="24"/>
        </w:rPr>
        <w:t xml:space="preserve"> anses for realiseret ved den faktiske afståelse af ejendommen og</w:t>
      </w:r>
      <w:r w:rsidRPr="00815B3E">
        <w:rPr>
          <w:rFonts w:eastAsia="Calibri" w:cs="Times New Roman"/>
          <w:bCs/>
          <w:color w:val="000000" w:themeColor="text1"/>
          <w:szCs w:val="24"/>
        </w:rPr>
        <w:t xml:space="preserve"> vil således kunne modregnes i den skattepligtiges øvrige skattepligtige indkomst</w:t>
      </w:r>
      <w:r w:rsidR="00AE68B4" w:rsidRPr="00815B3E">
        <w:rPr>
          <w:rFonts w:eastAsia="Calibri" w:cs="Times New Roman"/>
          <w:bCs/>
          <w:color w:val="000000" w:themeColor="text1"/>
          <w:szCs w:val="24"/>
        </w:rPr>
        <w:t xml:space="preserve"> ved salg af ejendommen</w:t>
      </w:r>
      <w:r w:rsidRPr="00815B3E">
        <w:rPr>
          <w:rFonts w:eastAsia="Calibri" w:cs="Times New Roman"/>
          <w:bCs/>
          <w:color w:val="000000" w:themeColor="text1"/>
          <w:szCs w:val="24"/>
        </w:rPr>
        <w:t xml:space="preserve">. Dette gælder, selv om tabet fra realisationssaldoen </w:t>
      </w:r>
      <w:r w:rsidR="00186875" w:rsidRPr="00815B3E">
        <w:rPr>
          <w:rFonts w:eastAsia="Calibri" w:cs="Times New Roman"/>
          <w:bCs/>
          <w:color w:val="000000" w:themeColor="text1"/>
          <w:szCs w:val="24"/>
        </w:rPr>
        <w:t>måtte udgøre et tab ved</w:t>
      </w:r>
      <w:r w:rsidRPr="00815B3E">
        <w:rPr>
          <w:rFonts w:eastAsia="Calibri" w:cs="Times New Roman"/>
          <w:bCs/>
          <w:color w:val="000000" w:themeColor="text1"/>
          <w:szCs w:val="24"/>
        </w:rPr>
        <w:t xml:space="preserve"> afståelse af fast ejendom, som </w:t>
      </w:r>
      <w:r w:rsidR="00186875" w:rsidRPr="00815B3E">
        <w:rPr>
          <w:rFonts w:eastAsia="Calibri" w:cs="Times New Roman"/>
          <w:bCs/>
          <w:color w:val="000000" w:themeColor="text1"/>
          <w:szCs w:val="24"/>
        </w:rPr>
        <w:t xml:space="preserve">efter de almindelige regler i </w:t>
      </w:r>
      <w:r w:rsidR="009C3102" w:rsidRPr="00815B3E">
        <w:rPr>
          <w:rFonts w:eastAsia="Calibri" w:cs="Times New Roman"/>
          <w:bCs/>
          <w:color w:val="000000" w:themeColor="text1"/>
          <w:szCs w:val="24"/>
        </w:rPr>
        <w:t>ejendomsavancebeskatningsloven</w:t>
      </w:r>
      <w:r w:rsidR="00186875" w:rsidRPr="00815B3E">
        <w:rPr>
          <w:rFonts w:eastAsia="Calibri" w:cs="Times New Roman"/>
          <w:bCs/>
          <w:color w:val="000000" w:themeColor="text1"/>
          <w:szCs w:val="24"/>
        </w:rPr>
        <w:t xml:space="preserve">, jf. kapitel 2, i almindelighed kun vil kunne udnyttes ved modregning af fortjenester ved afståelse af anden fast ejendom (kildeartsbegrænsning). </w:t>
      </w:r>
    </w:p>
    <w:p w14:paraId="51C7539E" w14:textId="7D79A18B" w:rsidR="00AA337A" w:rsidRPr="00815B3E" w:rsidRDefault="0000061C" w:rsidP="00981FEA">
      <w:pPr>
        <w:spacing w:after="240"/>
        <w:jc w:val="left"/>
        <w:rPr>
          <w:rFonts w:eastAsia="Calibri" w:cs="Times New Roman"/>
          <w:bCs/>
          <w:color w:val="000000" w:themeColor="text1"/>
          <w:szCs w:val="24"/>
        </w:rPr>
      </w:pPr>
      <w:proofErr w:type="gramStart"/>
      <w:r w:rsidRPr="00815B3E">
        <w:rPr>
          <w:rFonts w:eastAsia="Calibri" w:cs="Times New Roman"/>
          <w:bCs/>
          <w:color w:val="000000" w:themeColor="text1"/>
          <w:szCs w:val="24"/>
        </w:rPr>
        <w:lastRenderedPageBreak/>
        <w:t xml:space="preserve">I </w:t>
      </w:r>
      <w:r w:rsidR="00F07481">
        <w:rPr>
          <w:rFonts w:eastAsia="Calibri" w:cs="Times New Roman"/>
          <w:bCs/>
          <w:color w:val="000000" w:themeColor="text1"/>
          <w:szCs w:val="24"/>
        </w:rPr>
        <w:t xml:space="preserve"> eksemplet</w:t>
      </w:r>
      <w:proofErr w:type="gramEnd"/>
      <w:r w:rsidR="00F07481">
        <w:rPr>
          <w:rFonts w:eastAsia="Calibri" w:cs="Times New Roman"/>
          <w:bCs/>
          <w:color w:val="000000" w:themeColor="text1"/>
          <w:szCs w:val="24"/>
        </w:rPr>
        <w:t xml:space="preserve"> i</w:t>
      </w:r>
      <w:r w:rsidR="00594A3D">
        <w:rPr>
          <w:rFonts w:eastAsia="Calibri" w:cs="Times New Roman"/>
          <w:bCs/>
          <w:color w:val="000000" w:themeColor="text1"/>
          <w:szCs w:val="24"/>
        </w:rPr>
        <w:t xml:space="preserve"> </w:t>
      </w:r>
      <w:r w:rsidR="00F07481">
        <w:rPr>
          <w:rFonts w:eastAsia="Calibri" w:cs="Times New Roman"/>
          <w:bCs/>
          <w:color w:val="000000" w:themeColor="text1"/>
          <w:szCs w:val="24"/>
        </w:rPr>
        <w:t>tabel</w:t>
      </w:r>
      <w:r w:rsidR="00F07481" w:rsidRPr="00815B3E">
        <w:rPr>
          <w:rFonts w:eastAsia="Calibri" w:cs="Times New Roman"/>
          <w:bCs/>
          <w:color w:val="000000" w:themeColor="text1"/>
          <w:szCs w:val="24"/>
        </w:rPr>
        <w:t xml:space="preserve"> </w:t>
      </w:r>
      <w:r w:rsidR="00F07481">
        <w:rPr>
          <w:rFonts w:eastAsia="Calibri" w:cs="Times New Roman"/>
          <w:bCs/>
          <w:color w:val="000000" w:themeColor="text1"/>
          <w:szCs w:val="24"/>
        </w:rPr>
        <w:t>3</w:t>
      </w:r>
      <w:r w:rsidR="00F07481" w:rsidRPr="00815B3E">
        <w:rPr>
          <w:rFonts w:eastAsia="Calibri" w:cs="Times New Roman"/>
          <w:bCs/>
          <w:color w:val="000000" w:themeColor="text1"/>
          <w:szCs w:val="24"/>
        </w:rPr>
        <w:t xml:space="preserve"> </w:t>
      </w:r>
      <w:r w:rsidRPr="00815B3E">
        <w:rPr>
          <w:rFonts w:eastAsia="Calibri" w:cs="Times New Roman"/>
          <w:bCs/>
          <w:color w:val="000000" w:themeColor="text1"/>
          <w:szCs w:val="24"/>
        </w:rPr>
        <w:t xml:space="preserve"> </w:t>
      </w:r>
      <w:r w:rsidR="00AA337A" w:rsidRPr="00815B3E">
        <w:rPr>
          <w:rFonts w:eastAsia="Calibri" w:cs="Times New Roman"/>
          <w:bCs/>
          <w:color w:val="000000" w:themeColor="text1"/>
          <w:szCs w:val="24"/>
        </w:rPr>
        <w:t>udgør</w:t>
      </w:r>
      <w:r w:rsidRPr="00815B3E">
        <w:rPr>
          <w:rFonts w:eastAsia="Calibri" w:cs="Times New Roman"/>
          <w:bCs/>
          <w:color w:val="000000" w:themeColor="text1"/>
          <w:szCs w:val="24"/>
        </w:rPr>
        <w:t xml:space="preserve"> ejendommens handelsværdi</w:t>
      </w:r>
      <w:r w:rsidR="00AA337A" w:rsidRPr="00815B3E">
        <w:rPr>
          <w:rFonts w:eastAsia="Calibri" w:cs="Times New Roman"/>
          <w:bCs/>
          <w:color w:val="000000" w:themeColor="text1"/>
          <w:szCs w:val="24"/>
        </w:rPr>
        <w:t xml:space="preserve"> (indgangsværdi)</w:t>
      </w:r>
      <w:r w:rsidRPr="00815B3E">
        <w:rPr>
          <w:rFonts w:eastAsia="Calibri" w:cs="Times New Roman"/>
          <w:bCs/>
          <w:color w:val="000000" w:themeColor="text1"/>
          <w:szCs w:val="24"/>
        </w:rPr>
        <w:t xml:space="preserve"> på tidspunktet for</w:t>
      </w:r>
      <w:r w:rsidR="00AA337A" w:rsidRPr="00815B3E">
        <w:rPr>
          <w:rFonts w:eastAsia="Calibri" w:cs="Times New Roman"/>
          <w:bCs/>
          <w:color w:val="000000" w:themeColor="text1"/>
          <w:szCs w:val="24"/>
        </w:rPr>
        <w:t xml:space="preserve"> ejendommens</w:t>
      </w:r>
      <w:r w:rsidRPr="00815B3E">
        <w:rPr>
          <w:rFonts w:eastAsia="Calibri" w:cs="Times New Roman"/>
          <w:bCs/>
          <w:color w:val="000000" w:themeColor="text1"/>
          <w:szCs w:val="24"/>
        </w:rPr>
        <w:t xml:space="preserve"> overgang fra realisationsbeskatning til lagerbeskatning 120 mio. kr. Ejendommen sælges herefter i år 20</w:t>
      </w:r>
      <w:r w:rsidR="00F202D0" w:rsidRPr="00815B3E">
        <w:rPr>
          <w:rFonts w:eastAsia="Calibri" w:cs="Times New Roman"/>
          <w:bCs/>
          <w:color w:val="000000" w:themeColor="text1"/>
          <w:szCs w:val="24"/>
        </w:rPr>
        <w:t>27</w:t>
      </w:r>
      <w:r w:rsidRPr="00815B3E">
        <w:rPr>
          <w:rFonts w:eastAsia="Calibri" w:cs="Times New Roman"/>
          <w:bCs/>
          <w:color w:val="000000" w:themeColor="text1"/>
          <w:szCs w:val="24"/>
        </w:rPr>
        <w:t xml:space="preserve">. </w:t>
      </w:r>
    </w:p>
    <w:p w14:paraId="54E8D451" w14:textId="6CBBC0F6" w:rsidR="00D16A31" w:rsidRPr="00815B3E" w:rsidRDefault="00D16A31" w:rsidP="00981FEA">
      <w:pPr>
        <w:spacing w:after="240"/>
        <w:jc w:val="left"/>
        <w:rPr>
          <w:rFonts w:eastAsia="Calibri" w:cs="Times New Roman"/>
          <w:b/>
          <w:color w:val="000000" w:themeColor="text1"/>
          <w:szCs w:val="24"/>
        </w:rPr>
      </w:pPr>
      <w:r w:rsidRPr="00815B3E">
        <w:rPr>
          <w:rFonts w:eastAsia="Calibri" w:cs="Times New Roman"/>
          <w:b/>
          <w:color w:val="000000" w:themeColor="text1"/>
          <w:szCs w:val="24"/>
        </w:rPr>
        <w:t xml:space="preserve">Tabel </w:t>
      </w:r>
      <w:r w:rsidR="00F07481">
        <w:rPr>
          <w:rFonts w:eastAsia="Calibri" w:cs="Times New Roman"/>
          <w:b/>
          <w:color w:val="000000" w:themeColor="text1"/>
          <w:szCs w:val="24"/>
        </w:rPr>
        <w:t>3</w:t>
      </w:r>
      <w:r w:rsidR="00F07481" w:rsidRPr="00815B3E">
        <w:rPr>
          <w:rFonts w:eastAsia="Calibri" w:cs="Times New Roman"/>
          <w:b/>
          <w:color w:val="000000" w:themeColor="text1"/>
          <w:szCs w:val="24"/>
        </w:rPr>
        <w:t xml:space="preserve"> </w:t>
      </w:r>
      <w:r w:rsidRPr="00815B3E">
        <w:rPr>
          <w:rFonts w:eastAsia="Calibri" w:cs="Times New Roman"/>
          <w:b/>
          <w:color w:val="000000" w:themeColor="text1"/>
          <w:szCs w:val="24"/>
        </w:rPr>
        <w:t>– Behandling af gevinster og tab ved negativ realisationssaldo</w:t>
      </w:r>
    </w:p>
    <w:tbl>
      <w:tblPr>
        <w:tblW w:w="6817" w:type="dxa"/>
        <w:tblCellMar>
          <w:left w:w="70" w:type="dxa"/>
          <w:right w:w="70" w:type="dxa"/>
        </w:tblCellMar>
        <w:tblLook w:val="04A0" w:firstRow="1" w:lastRow="0" w:firstColumn="1" w:lastColumn="0" w:noHBand="0" w:noVBand="1"/>
      </w:tblPr>
      <w:tblGrid>
        <w:gridCol w:w="1701"/>
        <w:gridCol w:w="1276"/>
        <w:gridCol w:w="960"/>
        <w:gridCol w:w="960"/>
        <w:gridCol w:w="960"/>
        <w:gridCol w:w="960"/>
      </w:tblGrid>
      <w:tr w:rsidR="007D7B0D" w:rsidRPr="007D7B0D" w14:paraId="5F41A008" w14:textId="77777777" w:rsidTr="00813769">
        <w:trPr>
          <w:trHeight w:val="300"/>
        </w:trPr>
        <w:tc>
          <w:tcPr>
            <w:tcW w:w="1701" w:type="dxa"/>
            <w:tcBorders>
              <w:top w:val="nil"/>
              <w:left w:val="nil"/>
              <w:right w:val="single" w:sz="4" w:space="0" w:color="auto"/>
            </w:tcBorders>
            <w:shd w:val="clear" w:color="auto" w:fill="auto"/>
            <w:noWrap/>
            <w:vAlign w:val="bottom"/>
            <w:hideMark/>
          </w:tcPr>
          <w:p w14:paraId="4DACB75B" w14:textId="77777777" w:rsidR="007D7B0D" w:rsidRPr="007D7B0D" w:rsidRDefault="007D7B0D" w:rsidP="00D16A31">
            <w:pPr>
              <w:spacing w:line="240" w:lineRule="auto"/>
              <w:jc w:val="left"/>
              <w:rPr>
                <w:rFonts w:eastAsia="Times New Roman" w:cs="Times New Roman"/>
                <w:color w:val="000000" w:themeColor="text1"/>
                <w:sz w:val="20"/>
                <w:szCs w:val="20"/>
                <w:lang w:eastAsia="da-DK"/>
              </w:rPr>
            </w:pPr>
          </w:p>
        </w:tc>
        <w:tc>
          <w:tcPr>
            <w:tcW w:w="1276" w:type="dxa"/>
            <w:tcBorders>
              <w:top w:val="nil"/>
              <w:left w:val="single" w:sz="4" w:space="0" w:color="auto"/>
            </w:tcBorders>
            <w:shd w:val="clear" w:color="auto" w:fill="auto"/>
            <w:noWrap/>
            <w:vAlign w:val="bottom"/>
            <w:hideMark/>
          </w:tcPr>
          <w:p w14:paraId="7602E9E2" w14:textId="77777777" w:rsidR="007D7B0D" w:rsidRPr="00813769" w:rsidRDefault="007D7B0D" w:rsidP="00D16A31">
            <w:pPr>
              <w:spacing w:line="240" w:lineRule="auto"/>
              <w:jc w:val="lef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Indkomstår</w:t>
            </w:r>
          </w:p>
        </w:tc>
        <w:tc>
          <w:tcPr>
            <w:tcW w:w="960" w:type="dxa"/>
            <w:tcBorders>
              <w:top w:val="nil"/>
            </w:tcBorders>
            <w:shd w:val="clear" w:color="auto" w:fill="auto"/>
            <w:noWrap/>
            <w:vAlign w:val="bottom"/>
            <w:hideMark/>
          </w:tcPr>
          <w:p w14:paraId="68D37C69" w14:textId="77777777" w:rsidR="007D7B0D" w:rsidRPr="00813769" w:rsidRDefault="007D7B0D" w:rsidP="00D16A31">
            <w:pPr>
              <w:spacing w:line="240" w:lineRule="auto"/>
              <w:jc w:val="left"/>
              <w:rPr>
                <w:rFonts w:eastAsia="Times New Roman" w:cs="Times New Roman"/>
                <w:color w:val="000000" w:themeColor="text1"/>
                <w:sz w:val="20"/>
                <w:szCs w:val="20"/>
                <w:lang w:eastAsia="da-DK"/>
              </w:rPr>
            </w:pPr>
          </w:p>
        </w:tc>
        <w:tc>
          <w:tcPr>
            <w:tcW w:w="960" w:type="dxa"/>
            <w:tcBorders>
              <w:top w:val="nil"/>
            </w:tcBorders>
            <w:shd w:val="clear" w:color="auto" w:fill="auto"/>
            <w:noWrap/>
            <w:vAlign w:val="bottom"/>
            <w:hideMark/>
          </w:tcPr>
          <w:p w14:paraId="1458A4FC" w14:textId="77777777" w:rsidR="007D7B0D" w:rsidRPr="007D7B0D" w:rsidRDefault="007D7B0D" w:rsidP="00D16A31">
            <w:pPr>
              <w:spacing w:line="240" w:lineRule="auto"/>
              <w:jc w:val="left"/>
              <w:rPr>
                <w:rFonts w:eastAsia="Times New Roman" w:cs="Times New Roman"/>
                <w:color w:val="000000" w:themeColor="text1"/>
                <w:sz w:val="20"/>
                <w:szCs w:val="20"/>
                <w:lang w:eastAsia="da-DK"/>
              </w:rPr>
            </w:pPr>
          </w:p>
        </w:tc>
        <w:tc>
          <w:tcPr>
            <w:tcW w:w="960" w:type="dxa"/>
            <w:tcBorders>
              <w:top w:val="nil"/>
            </w:tcBorders>
            <w:shd w:val="clear" w:color="auto" w:fill="auto"/>
            <w:noWrap/>
            <w:vAlign w:val="bottom"/>
            <w:hideMark/>
          </w:tcPr>
          <w:p w14:paraId="27BE0D0C" w14:textId="77777777" w:rsidR="007D7B0D" w:rsidRPr="007D7B0D" w:rsidRDefault="007D7B0D" w:rsidP="00D16A31">
            <w:pPr>
              <w:spacing w:line="240" w:lineRule="auto"/>
              <w:jc w:val="left"/>
              <w:rPr>
                <w:rFonts w:eastAsia="Times New Roman" w:cs="Times New Roman"/>
                <w:color w:val="000000" w:themeColor="text1"/>
                <w:sz w:val="20"/>
                <w:szCs w:val="20"/>
                <w:lang w:eastAsia="da-DK"/>
              </w:rPr>
            </w:pPr>
          </w:p>
        </w:tc>
        <w:tc>
          <w:tcPr>
            <w:tcW w:w="960" w:type="dxa"/>
            <w:tcBorders>
              <w:top w:val="nil"/>
              <w:right w:val="nil"/>
            </w:tcBorders>
            <w:shd w:val="clear" w:color="auto" w:fill="auto"/>
            <w:noWrap/>
            <w:vAlign w:val="bottom"/>
            <w:hideMark/>
          </w:tcPr>
          <w:p w14:paraId="4107535C" w14:textId="77777777" w:rsidR="007D7B0D" w:rsidRPr="007D7B0D" w:rsidRDefault="007D7B0D" w:rsidP="00D16A31">
            <w:pPr>
              <w:spacing w:line="240" w:lineRule="auto"/>
              <w:jc w:val="left"/>
              <w:rPr>
                <w:rFonts w:eastAsia="Times New Roman" w:cs="Times New Roman"/>
                <w:color w:val="000000" w:themeColor="text1"/>
                <w:sz w:val="20"/>
                <w:szCs w:val="20"/>
                <w:lang w:eastAsia="da-DK"/>
              </w:rPr>
            </w:pPr>
          </w:p>
        </w:tc>
      </w:tr>
      <w:tr w:rsidR="007D7B0D" w:rsidRPr="007D7B0D" w14:paraId="0583890C" w14:textId="77777777" w:rsidTr="00813769">
        <w:trPr>
          <w:trHeight w:val="300"/>
        </w:trPr>
        <w:tc>
          <w:tcPr>
            <w:tcW w:w="1701" w:type="dxa"/>
            <w:tcBorders>
              <w:left w:val="nil"/>
              <w:bottom w:val="single" w:sz="4" w:space="0" w:color="auto"/>
              <w:right w:val="single" w:sz="4" w:space="0" w:color="auto"/>
            </w:tcBorders>
            <w:shd w:val="clear" w:color="auto" w:fill="auto"/>
            <w:noWrap/>
            <w:vAlign w:val="bottom"/>
            <w:hideMark/>
          </w:tcPr>
          <w:p w14:paraId="73A54000" w14:textId="286E0191" w:rsidR="007D7B0D" w:rsidRPr="00813769" w:rsidRDefault="00B22CC1" w:rsidP="00D16A31">
            <w:pPr>
              <w:spacing w:line="240" w:lineRule="auto"/>
              <w:jc w:val="left"/>
              <w:rPr>
                <w:rFonts w:eastAsia="Times New Roman" w:cs="Times New Roman"/>
                <w:b/>
                <w:bCs/>
                <w:color w:val="000000" w:themeColor="text1"/>
                <w:sz w:val="20"/>
                <w:szCs w:val="20"/>
                <w:lang w:eastAsia="da-DK"/>
              </w:rPr>
            </w:pPr>
            <w:r>
              <w:rPr>
                <w:rFonts w:eastAsia="Times New Roman" w:cs="Times New Roman"/>
                <w:b/>
                <w:bCs/>
                <w:color w:val="000000" w:themeColor="text1"/>
                <w:sz w:val="20"/>
                <w:szCs w:val="20"/>
                <w:lang w:eastAsia="da-DK"/>
              </w:rPr>
              <w:t>M</w:t>
            </w:r>
            <w:r w:rsidR="007D7B0D" w:rsidRPr="00813769">
              <w:rPr>
                <w:rFonts w:eastAsia="Times New Roman" w:cs="Times New Roman"/>
                <w:b/>
                <w:bCs/>
                <w:color w:val="000000" w:themeColor="text1"/>
                <w:sz w:val="20"/>
                <w:szCs w:val="20"/>
                <w:lang w:eastAsia="da-DK"/>
              </w:rPr>
              <w:t>io kr.</w:t>
            </w:r>
          </w:p>
        </w:tc>
        <w:tc>
          <w:tcPr>
            <w:tcW w:w="1276" w:type="dxa"/>
            <w:tcBorders>
              <w:left w:val="single" w:sz="4" w:space="0" w:color="auto"/>
              <w:bottom w:val="single" w:sz="4" w:space="0" w:color="auto"/>
              <w:right w:val="nil"/>
            </w:tcBorders>
            <w:shd w:val="clear" w:color="auto" w:fill="auto"/>
            <w:noWrap/>
            <w:vAlign w:val="bottom"/>
            <w:hideMark/>
          </w:tcPr>
          <w:p w14:paraId="25952BD3" w14:textId="77777777" w:rsidR="007D7B0D" w:rsidRPr="00813769" w:rsidRDefault="007D7B0D" w:rsidP="00D16A31">
            <w:pPr>
              <w:spacing w:line="240" w:lineRule="auto"/>
              <w:jc w:val="right"/>
              <w:rPr>
                <w:rFonts w:eastAsia="Times New Roman" w:cs="Times New Roman"/>
                <w:b/>
                <w:bCs/>
                <w:color w:val="000000" w:themeColor="text1"/>
                <w:sz w:val="20"/>
                <w:szCs w:val="20"/>
                <w:lang w:eastAsia="da-DK"/>
              </w:rPr>
            </w:pPr>
            <w:r w:rsidRPr="00813769">
              <w:rPr>
                <w:rFonts w:eastAsia="Times New Roman" w:cs="Times New Roman"/>
                <w:b/>
                <w:bCs/>
                <w:color w:val="000000" w:themeColor="text1"/>
                <w:sz w:val="20"/>
                <w:szCs w:val="20"/>
                <w:lang w:eastAsia="da-DK"/>
              </w:rPr>
              <w:t>2023</w:t>
            </w:r>
          </w:p>
        </w:tc>
        <w:tc>
          <w:tcPr>
            <w:tcW w:w="960" w:type="dxa"/>
            <w:tcBorders>
              <w:left w:val="nil"/>
              <w:bottom w:val="single" w:sz="4" w:space="0" w:color="auto"/>
              <w:right w:val="nil"/>
            </w:tcBorders>
            <w:shd w:val="clear" w:color="auto" w:fill="auto"/>
            <w:noWrap/>
            <w:vAlign w:val="bottom"/>
            <w:hideMark/>
          </w:tcPr>
          <w:p w14:paraId="66BEFFD0" w14:textId="77777777" w:rsidR="007D7B0D" w:rsidRPr="00813769" w:rsidRDefault="007D7B0D" w:rsidP="00D16A31">
            <w:pPr>
              <w:spacing w:line="240" w:lineRule="auto"/>
              <w:jc w:val="right"/>
              <w:rPr>
                <w:rFonts w:eastAsia="Times New Roman" w:cs="Times New Roman"/>
                <w:b/>
                <w:bCs/>
                <w:color w:val="000000" w:themeColor="text1"/>
                <w:sz w:val="20"/>
                <w:szCs w:val="20"/>
                <w:lang w:eastAsia="da-DK"/>
              </w:rPr>
            </w:pPr>
            <w:r w:rsidRPr="00813769">
              <w:rPr>
                <w:rFonts w:eastAsia="Times New Roman" w:cs="Times New Roman"/>
                <w:b/>
                <w:bCs/>
                <w:color w:val="000000" w:themeColor="text1"/>
                <w:sz w:val="20"/>
                <w:szCs w:val="20"/>
                <w:lang w:eastAsia="da-DK"/>
              </w:rPr>
              <w:t>2024</w:t>
            </w:r>
          </w:p>
        </w:tc>
        <w:tc>
          <w:tcPr>
            <w:tcW w:w="960" w:type="dxa"/>
            <w:tcBorders>
              <w:left w:val="nil"/>
              <w:bottom w:val="single" w:sz="4" w:space="0" w:color="auto"/>
              <w:right w:val="nil"/>
            </w:tcBorders>
            <w:shd w:val="clear" w:color="auto" w:fill="auto"/>
            <w:noWrap/>
            <w:vAlign w:val="bottom"/>
            <w:hideMark/>
          </w:tcPr>
          <w:p w14:paraId="4868B750" w14:textId="77777777" w:rsidR="007D7B0D" w:rsidRPr="00813769" w:rsidRDefault="007D7B0D" w:rsidP="00D16A31">
            <w:pPr>
              <w:spacing w:line="240" w:lineRule="auto"/>
              <w:jc w:val="right"/>
              <w:rPr>
                <w:rFonts w:eastAsia="Times New Roman" w:cs="Times New Roman"/>
                <w:b/>
                <w:bCs/>
                <w:color w:val="000000" w:themeColor="text1"/>
                <w:sz w:val="20"/>
                <w:szCs w:val="20"/>
                <w:lang w:eastAsia="da-DK"/>
              </w:rPr>
            </w:pPr>
            <w:r w:rsidRPr="00813769">
              <w:rPr>
                <w:rFonts w:eastAsia="Times New Roman" w:cs="Times New Roman"/>
                <w:b/>
                <w:bCs/>
                <w:color w:val="000000" w:themeColor="text1"/>
                <w:sz w:val="20"/>
                <w:szCs w:val="20"/>
                <w:lang w:eastAsia="da-DK"/>
              </w:rPr>
              <w:t>2025</w:t>
            </w:r>
          </w:p>
        </w:tc>
        <w:tc>
          <w:tcPr>
            <w:tcW w:w="960" w:type="dxa"/>
            <w:tcBorders>
              <w:left w:val="nil"/>
              <w:bottom w:val="single" w:sz="4" w:space="0" w:color="auto"/>
              <w:right w:val="nil"/>
            </w:tcBorders>
            <w:shd w:val="clear" w:color="auto" w:fill="auto"/>
            <w:noWrap/>
            <w:vAlign w:val="bottom"/>
            <w:hideMark/>
          </w:tcPr>
          <w:p w14:paraId="744D4F5A" w14:textId="77777777" w:rsidR="007D7B0D" w:rsidRPr="00813769" w:rsidRDefault="007D7B0D" w:rsidP="00D16A31">
            <w:pPr>
              <w:spacing w:line="240" w:lineRule="auto"/>
              <w:jc w:val="right"/>
              <w:rPr>
                <w:rFonts w:eastAsia="Times New Roman" w:cs="Times New Roman"/>
                <w:b/>
                <w:bCs/>
                <w:color w:val="000000" w:themeColor="text1"/>
                <w:sz w:val="20"/>
                <w:szCs w:val="20"/>
                <w:lang w:eastAsia="da-DK"/>
              </w:rPr>
            </w:pPr>
            <w:r w:rsidRPr="00813769">
              <w:rPr>
                <w:rFonts w:eastAsia="Times New Roman" w:cs="Times New Roman"/>
                <w:b/>
                <w:bCs/>
                <w:color w:val="000000" w:themeColor="text1"/>
                <w:sz w:val="20"/>
                <w:szCs w:val="20"/>
                <w:lang w:eastAsia="da-DK"/>
              </w:rPr>
              <w:t>2026</w:t>
            </w:r>
          </w:p>
        </w:tc>
        <w:tc>
          <w:tcPr>
            <w:tcW w:w="960" w:type="dxa"/>
            <w:tcBorders>
              <w:left w:val="nil"/>
              <w:bottom w:val="single" w:sz="4" w:space="0" w:color="auto"/>
              <w:right w:val="nil"/>
            </w:tcBorders>
            <w:shd w:val="clear" w:color="auto" w:fill="auto"/>
            <w:noWrap/>
            <w:vAlign w:val="bottom"/>
            <w:hideMark/>
          </w:tcPr>
          <w:p w14:paraId="54EA20FC" w14:textId="77777777" w:rsidR="007D7B0D" w:rsidRPr="00813769" w:rsidRDefault="007D7B0D" w:rsidP="00D16A31">
            <w:pPr>
              <w:spacing w:line="240" w:lineRule="auto"/>
              <w:jc w:val="right"/>
              <w:rPr>
                <w:rFonts w:eastAsia="Times New Roman" w:cs="Times New Roman"/>
                <w:b/>
                <w:bCs/>
                <w:color w:val="000000" w:themeColor="text1"/>
                <w:sz w:val="20"/>
                <w:szCs w:val="20"/>
                <w:lang w:eastAsia="da-DK"/>
              </w:rPr>
            </w:pPr>
            <w:r w:rsidRPr="00813769">
              <w:rPr>
                <w:rFonts w:eastAsia="Times New Roman" w:cs="Times New Roman"/>
                <w:b/>
                <w:bCs/>
                <w:color w:val="000000" w:themeColor="text1"/>
                <w:sz w:val="20"/>
                <w:szCs w:val="20"/>
                <w:lang w:eastAsia="da-DK"/>
              </w:rPr>
              <w:t>2027</w:t>
            </w:r>
          </w:p>
        </w:tc>
      </w:tr>
      <w:tr w:rsidR="007D7B0D" w:rsidRPr="007D7B0D" w14:paraId="125CF0F9" w14:textId="77777777" w:rsidTr="00813769">
        <w:trPr>
          <w:trHeight w:val="300"/>
        </w:trPr>
        <w:tc>
          <w:tcPr>
            <w:tcW w:w="1701" w:type="dxa"/>
            <w:tcBorders>
              <w:top w:val="single" w:sz="4" w:space="0" w:color="auto"/>
              <w:left w:val="nil"/>
              <w:bottom w:val="nil"/>
              <w:right w:val="single" w:sz="4" w:space="0" w:color="auto"/>
            </w:tcBorders>
            <w:shd w:val="clear" w:color="auto" w:fill="auto"/>
            <w:noWrap/>
            <w:vAlign w:val="bottom"/>
            <w:hideMark/>
          </w:tcPr>
          <w:p w14:paraId="222D328E" w14:textId="5E8AC3EF" w:rsidR="007D7B0D" w:rsidRPr="00813769" w:rsidRDefault="007D7B0D" w:rsidP="00D16A31">
            <w:pPr>
              <w:spacing w:line="240" w:lineRule="auto"/>
              <w:jc w:val="lef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Realisationssaldo primo</w:t>
            </w:r>
          </w:p>
        </w:tc>
        <w:tc>
          <w:tcPr>
            <w:tcW w:w="1276" w:type="dxa"/>
            <w:tcBorders>
              <w:top w:val="single" w:sz="4" w:space="0" w:color="auto"/>
              <w:left w:val="single" w:sz="4" w:space="0" w:color="auto"/>
              <w:bottom w:val="nil"/>
              <w:right w:val="nil"/>
            </w:tcBorders>
            <w:shd w:val="clear" w:color="auto" w:fill="auto"/>
            <w:noWrap/>
            <w:vAlign w:val="bottom"/>
            <w:hideMark/>
          </w:tcPr>
          <w:p w14:paraId="3AF936F8" w14:textId="77777777" w:rsidR="007D7B0D" w:rsidRPr="00813769" w:rsidRDefault="007D7B0D" w:rsidP="00D16A31">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-20</w:t>
            </w:r>
          </w:p>
        </w:tc>
        <w:tc>
          <w:tcPr>
            <w:tcW w:w="960" w:type="dxa"/>
            <w:tcBorders>
              <w:top w:val="single" w:sz="4" w:space="0" w:color="auto"/>
              <w:left w:val="nil"/>
              <w:bottom w:val="nil"/>
              <w:right w:val="nil"/>
            </w:tcBorders>
            <w:shd w:val="clear" w:color="auto" w:fill="auto"/>
            <w:noWrap/>
            <w:vAlign w:val="bottom"/>
            <w:hideMark/>
          </w:tcPr>
          <w:p w14:paraId="05BEA994" w14:textId="77777777" w:rsidR="007D7B0D" w:rsidRPr="00813769" w:rsidRDefault="007D7B0D" w:rsidP="00D16A31">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-20</w:t>
            </w:r>
          </w:p>
        </w:tc>
        <w:tc>
          <w:tcPr>
            <w:tcW w:w="960" w:type="dxa"/>
            <w:tcBorders>
              <w:top w:val="single" w:sz="4" w:space="0" w:color="auto"/>
              <w:left w:val="nil"/>
              <w:bottom w:val="nil"/>
              <w:right w:val="nil"/>
            </w:tcBorders>
            <w:shd w:val="clear" w:color="auto" w:fill="auto"/>
            <w:noWrap/>
            <w:vAlign w:val="bottom"/>
            <w:hideMark/>
          </w:tcPr>
          <w:p w14:paraId="7E7C524D" w14:textId="77777777" w:rsidR="007D7B0D" w:rsidRPr="00813769" w:rsidRDefault="007D7B0D" w:rsidP="00D16A31">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-10</w:t>
            </w:r>
          </w:p>
        </w:tc>
        <w:tc>
          <w:tcPr>
            <w:tcW w:w="960" w:type="dxa"/>
            <w:tcBorders>
              <w:top w:val="single" w:sz="4" w:space="0" w:color="auto"/>
              <w:left w:val="nil"/>
              <w:bottom w:val="nil"/>
              <w:right w:val="nil"/>
            </w:tcBorders>
            <w:shd w:val="clear" w:color="auto" w:fill="auto"/>
            <w:noWrap/>
            <w:vAlign w:val="bottom"/>
            <w:hideMark/>
          </w:tcPr>
          <w:p w14:paraId="026E5561" w14:textId="77777777" w:rsidR="007D7B0D" w:rsidRPr="00813769" w:rsidRDefault="007D7B0D" w:rsidP="00D16A31">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-10</w:t>
            </w:r>
          </w:p>
        </w:tc>
        <w:tc>
          <w:tcPr>
            <w:tcW w:w="960" w:type="dxa"/>
            <w:tcBorders>
              <w:top w:val="single" w:sz="4" w:space="0" w:color="auto"/>
              <w:left w:val="nil"/>
              <w:bottom w:val="nil"/>
              <w:right w:val="nil"/>
            </w:tcBorders>
            <w:shd w:val="clear" w:color="auto" w:fill="auto"/>
            <w:noWrap/>
            <w:vAlign w:val="bottom"/>
            <w:hideMark/>
          </w:tcPr>
          <w:p w14:paraId="5DCE1206" w14:textId="77777777" w:rsidR="007D7B0D" w:rsidRPr="00813769" w:rsidRDefault="007D7B0D" w:rsidP="00D16A31">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-5</w:t>
            </w:r>
          </w:p>
        </w:tc>
      </w:tr>
      <w:tr w:rsidR="007D7B0D" w:rsidRPr="007D7B0D" w14:paraId="468577C1" w14:textId="77777777" w:rsidTr="00813769">
        <w:trPr>
          <w:trHeight w:val="300"/>
        </w:trPr>
        <w:tc>
          <w:tcPr>
            <w:tcW w:w="1701" w:type="dxa"/>
            <w:tcBorders>
              <w:top w:val="nil"/>
              <w:left w:val="nil"/>
              <w:bottom w:val="nil"/>
              <w:right w:val="single" w:sz="4" w:space="0" w:color="auto"/>
            </w:tcBorders>
            <w:shd w:val="clear" w:color="auto" w:fill="auto"/>
            <w:noWrap/>
            <w:vAlign w:val="bottom"/>
            <w:hideMark/>
          </w:tcPr>
          <w:p w14:paraId="12954445" w14:textId="553FBC03" w:rsidR="007D7B0D" w:rsidRPr="00813769" w:rsidRDefault="007D7B0D" w:rsidP="00D16A31">
            <w:pPr>
              <w:spacing w:line="240" w:lineRule="auto"/>
              <w:jc w:val="lef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Ejendommens handelsværdi ultimo</w:t>
            </w:r>
          </w:p>
        </w:tc>
        <w:tc>
          <w:tcPr>
            <w:tcW w:w="1276" w:type="dxa"/>
            <w:tcBorders>
              <w:top w:val="nil"/>
              <w:left w:val="single" w:sz="4" w:space="0" w:color="auto"/>
              <w:bottom w:val="nil"/>
              <w:right w:val="nil"/>
            </w:tcBorders>
            <w:shd w:val="clear" w:color="auto" w:fill="auto"/>
            <w:noWrap/>
            <w:vAlign w:val="bottom"/>
            <w:hideMark/>
          </w:tcPr>
          <w:p w14:paraId="0368CD4F" w14:textId="77777777" w:rsidR="007D7B0D" w:rsidRPr="00813769" w:rsidRDefault="007D7B0D" w:rsidP="00D16A31">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120</w:t>
            </w:r>
          </w:p>
        </w:tc>
        <w:tc>
          <w:tcPr>
            <w:tcW w:w="960" w:type="dxa"/>
            <w:tcBorders>
              <w:top w:val="nil"/>
              <w:left w:val="nil"/>
              <w:bottom w:val="nil"/>
              <w:right w:val="nil"/>
            </w:tcBorders>
            <w:shd w:val="clear" w:color="auto" w:fill="auto"/>
            <w:noWrap/>
            <w:vAlign w:val="bottom"/>
            <w:hideMark/>
          </w:tcPr>
          <w:p w14:paraId="6698F2B0" w14:textId="77777777" w:rsidR="007D7B0D" w:rsidRPr="00813769" w:rsidRDefault="007D7B0D" w:rsidP="00D16A31">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130</w:t>
            </w:r>
          </w:p>
        </w:tc>
        <w:tc>
          <w:tcPr>
            <w:tcW w:w="960" w:type="dxa"/>
            <w:tcBorders>
              <w:top w:val="nil"/>
              <w:left w:val="nil"/>
              <w:bottom w:val="nil"/>
              <w:right w:val="nil"/>
            </w:tcBorders>
            <w:shd w:val="clear" w:color="auto" w:fill="auto"/>
            <w:noWrap/>
            <w:vAlign w:val="bottom"/>
            <w:hideMark/>
          </w:tcPr>
          <w:p w14:paraId="14A34379" w14:textId="77777777" w:rsidR="007D7B0D" w:rsidRPr="00813769" w:rsidRDefault="007D7B0D" w:rsidP="00D16A31">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125</w:t>
            </w:r>
          </w:p>
        </w:tc>
        <w:tc>
          <w:tcPr>
            <w:tcW w:w="960" w:type="dxa"/>
            <w:tcBorders>
              <w:top w:val="nil"/>
              <w:left w:val="nil"/>
              <w:bottom w:val="nil"/>
              <w:right w:val="nil"/>
            </w:tcBorders>
            <w:shd w:val="clear" w:color="auto" w:fill="auto"/>
            <w:noWrap/>
            <w:vAlign w:val="bottom"/>
            <w:hideMark/>
          </w:tcPr>
          <w:p w14:paraId="56604442" w14:textId="77777777" w:rsidR="007D7B0D" w:rsidRPr="00813769" w:rsidRDefault="007D7B0D" w:rsidP="00D16A31">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130</w:t>
            </w:r>
          </w:p>
        </w:tc>
        <w:tc>
          <w:tcPr>
            <w:tcW w:w="960" w:type="dxa"/>
            <w:tcBorders>
              <w:top w:val="nil"/>
              <w:left w:val="nil"/>
              <w:bottom w:val="nil"/>
              <w:right w:val="nil"/>
            </w:tcBorders>
            <w:shd w:val="clear" w:color="auto" w:fill="auto"/>
            <w:noWrap/>
            <w:vAlign w:val="bottom"/>
            <w:hideMark/>
          </w:tcPr>
          <w:p w14:paraId="462786DF" w14:textId="77777777" w:rsidR="007D7B0D" w:rsidRPr="00813769" w:rsidRDefault="007D7B0D" w:rsidP="00D16A31">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125</w:t>
            </w:r>
          </w:p>
        </w:tc>
      </w:tr>
      <w:tr w:rsidR="007D7B0D" w:rsidRPr="007D7B0D" w14:paraId="64508C92" w14:textId="77777777" w:rsidTr="00813769">
        <w:trPr>
          <w:trHeight w:val="300"/>
        </w:trPr>
        <w:tc>
          <w:tcPr>
            <w:tcW w:w="1701" w:type="dxa"/>
            <w:tcBorders>
              <w:top w:val="nil"/>
              <w:left w:val="nil"/>
              <w:bottom w:val="nil"/>
              <w:right w:val="single" w:sz="4" w:space="0" w:color="auto"/>
            </w:tcBorders>
            <w:shd w:val="clear" w:color="auto" w:fill="auto"/>
            <w:noWrap/>
            <w:vAlign w:val="bottom"/>
            <w:hideMark/>
          </w:tcPr>
          <w:p w14:paraId="095013FD" w14:textId="77777777" w:rsidR="007D7B0D" w:rsidRPr="00813769" w:rsidRDefault="007D7B0D" w:rsidP="00D16A31">
            <w:pPr>
              <w:spacing w:line="240" w:lineRule="auto"/>
              <w:jc w:val="lef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Årets ejendomsavance/-tab</w:t>
            </w:r>
          </w:p>
        </w:tc>
        <w:tc>
          <w:tcPr>
            <w:tcW w:w="1276" w:type="dxa"/>
            <w:tcBorders>
              <w:top w:val="nil"/>
              <w:left w:val="single" w:sz="4" w:space="0" w:color="auto"/>
              <w:bottom w:val="nil"/>
              <w:right w:val="nil"/>
            </w:tcBorders>
            <w:shd w:val="clear" w:color="auto" w:fill="auto"/>
            <w:noWrap/>
            <w:vAlign w:val="bottom"/>
            <w:hideMark/>
          </w:tcPr>
          <w:p w14:paraId="601B8176" w14:textId="77777777" w:rsidR="007D7B0D" w:rsidRPr="00813769" w:rsidRDefault="007D7B0D" w:rsidP="00D16A31">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0</w:t>
            </w:r>
          </w:p>
        </w:tc>
        <w:tc>
          <w:tcPr>
            <w:tcW w:w="960" w:type="dxa"/>
            <w:tcBorders>
              <w:top w:val="nil"/>
              <w:left w:val="nil"/>
              <w:bottom w:val="nil"/>
              <w:right w:val="nil"/>
            </w:tcBorders>
            <w:shd w:val="clear" w:color="auto" w:fill="auto"/>
            <w:noWrap/>
            <w:vAlign w:val="bottom"/>
            <w:hideMark/>
          </w:tcPr>
          <w:p w14:paraId="1A4280AF" w14:textId="77777777" w:rsidR="007D7B0D" w:rsidRPr="00813769" w:rsidRDefault="007D7B0D" w:rsidP="00D16A31">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10</w:t>
            </w:r>
          </w:p>
        </w:tc>
        <w:tc>
          <w:tcPr>
            <w:tcW w:w="960" w:type="dxa"/>
            <w:tcBorders>
              <w:top w:val="nil"/>
              <w:left w:val="nil"/>
              <w:bottom w:val="nil"/>
              <w:right w:val="nil"/>
            </w:tcBorders>
            <w:shd w:val="clear" w:color="auto" w:fill="auto"/>
            <w:noWrap/>
            <w:vAlign w:val="bottom"/>
            <w:hideMark/>
          </w:tcPr>
          <w:p w14:paraId="044F73DF" w14:textId="77777777" w:rsidR="007D7B0D" w:rsidRPr="00813769" w:rsidRDefault="007D7B0D" w:rsidP="00D16A31">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-5</w:t>
            </w:r>
          </w:p>
        </w:tc>
        <w:tc>
          <w:tcPr>
            <w:tcW w:w="960" w:type="dxa"/>
            <w:tcBorders>
              <w:top w:val="nil"/>
              <w:left w:val="nil"/>
              <w:bottom w:val="nil"/>
              <w:right w:val="nil"/>
            </w:tcBorders>
            <w:shd w:val="clear" w:color="auto" w:fill="auto"/>
            <w:noWrap/>
            <w:vAlign w:val="bottom"/>
            <w:hideMark/>
          </w:tcPr>
          <w:p w14:paraId="771CF19F" w14:textId="77777777" w:rsidR="007D7B0D" w:rsidRPr="00813769" w:rsidRDefault="007D7B0D" w:rsidP="00D16A31">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5</w:t>
            </w:r>
          </w:p>
        </w:tc>
        <w:tc>
          <w:tcPr>
            <w:tcW w:w="960" w:type="dxa"/>
            <w:tcBorders>
              <w:top w:val="nil"/>
              <w:left w:val="nil"/>
              <w:bottom w:val="nil"/>
              <w:right w:val="nil"/>
            </w:tcBorders>
            <w:shd w:val="clear" w:color="auto" w:fill="auto"/>
            <w:noWrap/>
            <w:vAlign w:val="bottom"/>
            <w:hideMark/>
          </w:tcPr>
          <w:p w14:paraId="2C6E6922" w14:textId="77777777" w:rsidR="007D7B0D" w:rsidRPr="00813769" w:rsidRDefault="007D7B0D" w:rsidP="00D16A31">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-5</w:t>
            </w:r>
          </w:p>
        </w:tc>
      </w:tr>
      <w:tr w:rsidR="007D7B0D" w:rsidRPr="007D7B0D" w14:paraId="58FEC6FD" w14:textId="77777777" w:rsidTr="00813769">
        <w:trPr>
          <w:trHeight w:val="300"/>
        </w:trPr>
        <w:tc>
          <w:tcPr>
            <w:tcW w:w="1701" w:type="dxa"/>
            <w:tcBorders>
              <w:top w:val="nil"/>
              <w:left w:val="nil"/>
              <w:bottom w:val="nil"/>
              <w:right w:val="single" w:sz="4" w:space="0" w:color="auto"/>
            </w:tcBorders>
            <w:shd w:val="clear" w:color="auto" w:fill="auto"/>
            <w:noWrap/>
            <w:vAlign w:val="bottom"/>
          </w:tcPr>
          <w:p w14:paraId="012D9A7B" w14:textId="2B5AF825" w:rsidR="007D7B0D" w:rsidRPr="00813769" w:rsidRDefault="007D7B0D" w:rsidP="00D16A31">
            <w:pPr>
              <w:spacing w:line="240" w:lineRule="auto"/>
              <w:jc w:val="lef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Ejendomsavance /-tab der medregnes til den skattepligtige indkomst</w:t>
            </w:r>
          </w:p>
        </w:tc>
        <w:tc>
          <w:tcPr>
            <w:tcW w:w="1276" w:type="dxa"/>
            <w:tcBorders>
              <w:top w:val="nil"/>
              <w:left w:val="single" w:sz="4" w:space="0" w:color="auto"/>
              <w:bottom w:val="nil"/>
              <w:right w:val="nil"/>
            </w:tcBorders>
            <w:shd w:val="clear" w:color="auto" w:fill="auto"/>
            <w:noWrap/>
            <w:vAlign w:val="bottom"/>
          </w:tcPr>
          <w:p w14:paraId="4D8C0134" w14:textId="5BEE690C" w:rsidR="007D7B0D" w:rsidRPr="00813769" w:rsidRDefault="007D7B0D" w:rsidP="00D16A31">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0</w:t>
            </w:r>
          </w:p>
        </w:tc>
        <w:tc>
          <w:tcPr>
            <w:tcW w:w="960" w:type="dxa"/>
            <w:tcBorders>
              <w:top w:val="nil"/>
              <w:left w:val="nil"/>
              <w:bottom w:val="nil"/>
              <w:right w:val="nil"/>
            </w:tcBorders>
            <w:shd w:val="clear" w:color="auto" w:fill="auto"/>
            <w:noWrap/>
            <w:vAlign w:val="bottom"/>
          </w:tcPr>
          <w:p w14:paraId="0F16FB4A" w14:textId="6440E7BF" w:rsidR="007D7B0D" w:rsidRPr="00813769" w:rsidRDefault="007D7B0D" w:rsidP="00D16A31">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0</w:t>
            </w:r>
          </w:p>
        </w:tc>
        <w:tc>
          <w:tcPr>
            <w:tcW w:w="960" w:type="dxa"/>
            <w:tcBorders>
              <w:top w:val="nil"/>
              <w:left w:val="nil"/>
              <w:bottom w:val="nil"/>
              <w:right w:val="nil"/>
            </w:tcBorders>
            <w:shd w:val="clear" w:color="auto" w:fill="auto"/>
            <w:noWrap/>
            <w:vAlign w:val="bottom"/>
          </w:tcPr>
          <w:p w14:paraId="7FB30B30" w14:textId="290763EE" w:rsidR="007D7B0D" w:rsidRPr="00813769" w:rsidRDefault="007D7B0D" w:rsidP="00D16A31">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-5</w:t>
            </w:r>
          </w:p>
        </w:tc>
        <w:tc>
          <w:tcPr>
            <w:tcW w:w="960" w:type="dxa"/>
            <w:tcBorders>
              <w:top w:val="nil"/>
              <w:left w:val="nil"/>
              <w:bottom w:val="nil"/>
              <w:right w:val="nil"/>
            </w:tcBorders>
            <w:shd w:val="clear" w:color="auto" w:fill="auto"/>
            <w:noWrap/>
            <w:vAlign w:val="bottom"/>
          </w:tcPr>
          <w:p w14:paraId="12C13151" w14:textId="1B915743" w:rsidR="007D7B0D" w:rsidRPr="00813769" w:rsidRDefault="007D7B0D" w:rsidP="00D16A31">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0</w:t>
            </w:r>
          </w:p>
        </w:tc>
        <w:tc>
          <w:tcPr>
            <w:tcW w:w="960" w:type="dxa"/>
            <w:tcBorders>
              <w:top w:val="nil"/>
              <w:left w:val="nil"/>
              <w:bottom w:val="nil"/>
              <w:right w:val="nil"/>
            </w:tcBorders>
            <w:shd w:val="clear" w:color="auto" w:fill="auto"/>
            <w:noWrap/>
            <w:vAlign w:val="bottom"/>
          </w:tcPr>
          <w:p w14:paraId="188DB417" w14:textId="303C3FEC" w:rsidR="007D7B0D" w:rsidRPr="00813769" w:rsidRDefault="007D7B0D" w:rsidP="00D16A31">
            <w:pPr>
              <w:spacing w:line="240" w:lineRule="auto"/>
              <w:jc w:val="right"/>
              <w:rPr>
                <w:rFonts w:eastAsia="Times New Roman" w:cs="Times New Roman"/>
                <w:color w:val="000000" w:themeColor="text1"/>
                <w:sz w:val="20"/>
                <w:szCs w:val="20"/>
                <w:lang w:eastAsia="da-DK"/>
              </w:rPr>
            </w:pPr>
            <w:r w:rsidRPr="00813769">
              <w:rPr>
                <w:rFonts w:eastAsia="Times New Roman" w:cs="Times New Roman"/>
                <w:color w:val="000000" w:themeColor="text1"/>
                <w:sz w:val="20"/>
                <w:szCs w:val="20"/>
                <w:lang w:eastAsia="da-DK"/>
              </w:rPr>
              <w:t>-10</w:t>
            </w:r>
          </w:p>
        </w:tc>
      </w:tr>
      <w:tr w:rsidR="007D7B0D" w:rsidRPr="007D7B0D" w14:paraId="1320D215" w14:textId="77777777" w:rsidTr="00813769">
        <w:trPr>
          <w:trHeight w:val="300"/>
        </w:trPr>
        <w:tc>
          <w:tcPr>
            <w:tcW w:w="1701" w:type="dxa"/>
            <w:tcBorders>
              <w:top w:val="nil"/>
              <w:left w:val="nil"/>
              <w:bottom w:val="nil"/>
              <w:right w:val="nil"/>
            </w:tcBorders>
            <w:shd w:val="clear" w:color="auto" w:fill="auto"/>
            <w:noWrap/>
            <w:vAlign w:val="bottom"/>
          </w:tcPr>
          <w:p w14:paraId="130632EB" w14:textId="2D02A18F" w:rsidR="007D7B0D" w:rsidRPr="00813769" w:rsidRDefault="007D7B0D" w:rsidP="00D16A31">
            <w:pPr>
              <w:spacing w:line="240" w:lineRule="auto"/>
              <w:jc w:val="left"/>
              <w:rPr>
                <w:rFonts w:eastAsia="Times New Roman" w:cs="Times New Roman"/>
                <w:color w:val="000000" w:themeColor="text1"/>
                <w:sz w:val="20"/>
                <w:szCs w:val="20"/>
                <w:lang w:eastAsia="da-DK"/>
              </w:rPr>
            </w:pPr>
          </w:p>
        </w:tc>
        <w:tc>
          <w:tcPr>
            <w:tcW w:w="1276" w:type="dxa"/>
            <w:tcBorders>
              <w:top w:val="nil"/>
              <w:left w:val="nil"/>
              <w:bottom w:val="nil"/>
              <w:right w:val="nil"/>
            </w:tcBorders>
            <w:shd w:val="clear" w:color="auto" w:fill="auto"/>
            <w:noWrap/>
            <w:vAlign w:val="bottom"/>
          </w:tcPr>
          <w:p w14:paraId="6FDC1B37" w14:textId="58FCB20E" w:rsidR="007D7B0D" w:rsidRPr="00813769" w:rsidRDefault="007D7B0D" w:rsidP="00D16A31">
            <w:pPr>
              <w:spacing w:line="240" w:lineRule="auto"/>
              <w:jc w:val="right"/>
              <w:rPr>
                <w:rFonts w:eastAsia="Times New Roman" w:cs="Times New Roman"/>
                <w:color w:val="000000" w:themeColor="text1"/>
                <w:sz w:val="20"/>
                <w:szCs w:val="20"/>
                <w:lang w:eastAsia="da-DK"/>
              </w:rPr>
            </w:pPr>
          </w:p>
        </w:tc>
        <w:tc>
          <w:tcPr>
            <w:tcW w:w="960" w:type="dxa"/>
            <w:tcBorders>
              <w:top w:val="nil"/>
              <w:left w:val="nil"/>
              <w:bottom w:val="nil"/>
              <w:right w:val="nil"/>
            </w:tcBorders>
            <w:shd w:val="clear" w:color="auto" w:fill="auto"/>
            <w:noWrap/>
            <w:vAlign w:val="bottom"/>
          </w:tcPr>
          <w:p w14:paraId="6A0CEF82" w14:textId="7147AB62" w:rsidR="007D7B0D" w:rsidRPr="00813769" w:rsidRDefault="007D7B0D" w:rsidP="00D16A31">
            <w:pPr>
              <w:spacing w:line="240" w:lineRule="auto"/>
              <w:jc w:val="right"/>
              <w:rPr>
                <w:rFonts w:eastAsia="Times New Roman" w:cs="Times New Roman"/>
                <w:color w:val="000000" w:themeColor="text1"/>
                <w:sz w:val="20"/>
                <w:szCs w:val="20"/>
                <w:lang w:eastAsia="da-DK"/>
              </w:rPr>
            </w:pPr>
          </w:p>
        </w:tc>
        <w:tc>
          <w:tcPr>
            <w:tcW w:w="960" w:type="dxa"/>
            <w:tcBorders>
              <w:top w:val="nil"/>
              <w:left w:val="nil"/>
              <w:bottom w:val="nil"/>
              <w:right w:val="nil"/>
            </w:tcBorders>
            <w:shd w:val="clear" w:color="auto" w:fill="auto"/>
            <w:noWrap/>
            <w:vAlign w:val="bottom"/>
          </w:tcPr>
          <w:p w14:paraId="0D4D490A" w14:textId="6586C8CF" w:rsidR="007D7B0D" w:rsidRPr="00813769" w:rsidRDefault="007D7B0D" w:rsidP="00D16A31">
            <w:pPr>
              <w:spacing w:line="240" w:lineRule="auto"/>
              <w:jc w:val="right"/>
              <w:rPr>
                <w:rFonts w:eastAsia="Times New Roman" w:cs="Times New Roman"/>
                <w:color w:val="000000" w:themeColor="text1"/>
                <w:sz w:val="20"/>
                <w:szCs w:val="20"/>
                <w:lang w:eastAsia="da-DK"/>
              </w:rPr>
            </w:pPr>
          </w:p>
        </w:tc>
        <w:tc>
          <w:tcPr>
            <w:tcW w:w="960" w:type="dxa"/>
            <w:tcBorders>
              <w:top w:val="nil"/>
              <w:left w:val="nil"/>
              <w:bottom w:val="nil"/>
              <w:right w:val="nil"/>
            </w:tcBorders>
            <w:shd w:val="clear" w:color="auto" w:fill="auto"/>
            <w:noWrap/>
            <w:vAlign w:val="bottom"/>
          </w:tcPr>
          <w:p w14:paraId="68F7ACF1" w14:textId="7ED290ED" w:rsidR="007D7B0D" w:rsidRPr="00813769" w:rsidRDefault="007D7B0D" w:rsidP="00D16A31">
            <w:pPr>
              <w:spacing w:line="240" w:lineRule="auto"/>
              <w:jc w:val="right"/>
              <w:rPr>
                <w:rFonts w:eastAsia="Times New Roman" w:cs="Times New Roman"/>
                <w:color w:val="000000" w:themeColor="text1"/>
                <w:sz w:val="20"/>
                <w:szCs w:val="20"/>
                <w:lang w:eastAsia="da-DK"/>
              </w:rPr>
            </w:pPr>
          </w:p>
        </w:tc>
        <w:tc>
          <w:tcPr>
            <w:tcW w:w="960" w:type="dxa"/>
            <w:tcBorders>
              <w:top w:val="nil"/>
              <w:left w:val="nil"/>
              <w:bottom w:val="nil"/>
              <w:right w:val="nil"/>
            </w:tcBorders>
            <w:shd w:val="clear" w:color="auto" w:fill="auto"/>
            <w:noWrap/>
            <w:vAlign w:val="bottom"/>
          </w:tcPr>
          <w:p w14:paraId="00B28F1E" w14:textId="6F0ECB3B" w:rsidR="007D7B0D" w:rsidRPr="00813769" w:rsidRDefault="007D7B0D" w:rsidP="00D16A31">
            <w:pPr>
              <w:spacing w:line="240" w:lineRule="auto"/>
              <w:jc w:val="right"/>
              <w:rPr>
                <w:rFonts w:eastAsia="Times New Roman" w:cs="Times New Roman"/>
                <w:color w:val="000000" w:themeColor="text1"/>
                <w:sz w:val="20"/>
                <w:szCs w:val="20"/>
                <w:lang w:eastAsia="da-DK"/>
              </w:rPr>
            </w:pPr>
          </w:p>
        </w:tc>
      </w:tr>
    </w:tbl>
    <w:p w14:paraId="61986F1F" w14:textId="77777777" w:rsidR="007D7B0D" w:rsidRPr="00815B3E" w:rsidRDefault="007D7B0D" w:rsidP="00981FEA">
      <w:pPr>
        <w:spacing w:after="240"/>
        <w:jc w:val="left"/>
        <w:rPr>
          <w:rFonts w:eastAsia="Calibri" w:cs="Times New Roman"/>
          <w:bCs/>
          <w:color w:val="000000" w:themeColor="text1"/>
          <w:szCs w:val="24"/>
        </w:rPr>
      </w:pPr>
    </w:p>
    <w:p w14:paraId="6FB70347" w14:textId="7ED0B399" w:rsidR="00B2156C" w:rsidRPr="00815B3E" w:rsidRDefault="00B2156C" w:rsidP="00981FEA">
      <w:pPr>
        <w:spacing w:after="240"/>
        <w:jc w:val="left"/>
        <w:rPr>
          <w:rFonts w:eastAsia="Calibri" w:cs="Times New Roman"/>
          <w:bCs/>
          <w:color w:val="000000" w:themeColor="text1"/>
          <w:szCs w:val="24"/>
        </w:rPr>
      </w:pPr>
      <w:r w:rsidRPr="00815B3E">
        <w:rPr>
          <w:rFonts w:eastAsia="Calibri" w:cs="Times New Roman"/>
          <w:bCs/>
          <w:color w:val="000000" w:themeColor="text1"/>
          <w:szCs w:val="24"/>
        </w:rPr>
        <w:t>I eksemplet stiger ejendommens værdi med 10</w:t>
      </w:r>
      <w:r w:rsidR="00F07481">
        <w:rPr>
          <w:rFonts w:eastAsia="Calibri" w:cs="Times New Roman"/>
          <w:bCs/>
          <w:color w:val="000000" w:themeColor="text1"/>
          <w:szCs w:val="24"/>
        </w:rPr>
        <w:t xml:space="preserve"> mio. kr.</w:t>
      </w:r>
      <w:r w:rsidRPr="00815B3E">
        <w:rPr>
          <w:rFonts w:eastAsia="Calibri" w:cs="Times New Roman"/>
          <w:bCs/>
          <w:color w:val="000000" w:themeColor="text1"/>
          <w:szCs w:val="24"/>
        </w:rPr>
        <w:t xml:space="preserve"> til 130</w:t>
      </w:r>
      <w:r w:rsidR="00F07481">
        <w:rPr>
          <w:rFonts w:eastAsia="Calibri" w:cs="Times New Roman"/>
          <w:bCs/>
          <w:color w:val="000000" w:themeColor="text1"/>
          <w:szCs w:val="24"/>
        </w:rPr>
        <w:t xml:space="preserve"> mio. kr.</w:t>
      </w:r>
      <w:r w:rsidRPr="00815B3E">
        <w:rPr>
          <w:rFonts w:eastAsia="Calibri" w:cs="Times New Roman"/>
          <w:bCs/>
          <w:color w:val="000000" w:themeColor="text1"/>
          <w:szCs w:val="24"/>
        </w:rPr>
        <w:t xml:space="preserve"> i 2024. Gevinsten beskattes ikke, men modregnes i den negative realisationssaldo, der reduceres fra </w:t>
      </w:r>
      <w:r w:rsidR="00594A3D">
        <w:rPr>
          <w:rFonts w:eastAsia="Calibri" w:cs="Times New Roman"/>
          <w:bCs/>
          <w:color w:val="000000" w:themeColor="text1"/>
          <w:szCs w:val="24"/>
        </w:rPr>
        <w:t>minus</w:t>
      </w:r>
      <w:r w:rsidRPr="00815B3E">
        <w:rPr>
          <w:rFonts w:eastAsia="Calibri" w:cs="Times New Roman"/>
          <w:bCs/>
          <w:color w:val="000000" w:themeColor="text1"/>
          <w:szCs w:val="24"/>
        </w:rPr>
        <w:t xml:space="preserve">20 </w:t>
      </w:r>
      <w:r w:rsidR="00F07481">
        <w:rPr>
          <w:rFonts w:eastAsia="Calibri" w:cs="Times New Roman"/>
          <w:bCs/>
          <w:color w:val="000000" w:themeColor="text1"/>
          <w:szCs w:val="24"/>
        </w:rPr>
        <w:t xml:space="preserve">mio. kr. </w:t>
      </w:r>
      <w:r w:rsidRPr="00815B3E">
        <w:rPr>
          <w:rFonts w:eastAsia="Calibri" w:cs="Times New Roman"/>
          <w:bCs/>
          <w:color w:val="000000" w:themeColor="text1"/>
          <w:szCs w:val="24"/>
        </w:rPr>
        <w:t xml:space="preserve">til </w:t>
      </w:r>
      <w:r w:rsidR="00594A3D">
        <w:rPr>
          <w:rFonts w:eastAsia="Calibri" w:cs="Times New Roman"/>
          <w:bCs/>
          <w:color w:val="000000" w:themeColor="text1"/>
          <w:szCs w:val="24"/>
        </w:rPr>
        <w:t>minus</w:t>
      </w:r>
      <w:r w:rsidRPr="00815B3E">
        <w:rPr>
          <w:rFonts w:eastAsia="Calibri" w:cs="Times New Roman"/>
          <w:bCs/>
          <w:color w:val="000000" w:themeColor="text1"/>
          <w:szCs w:val="24"/>
        </w:rPr>
        <w:t>10</w:t>
      </w:r>
      <w:r w:rsidR="00F07481">
        <w:rPr>
          <w:rFonts w:eastAsia="Calibri" w:cs="Times New Roman"/>
          <w:bCs/>
          <w:color w:val="000000" w:themeColor="text1"/>
          <w:szCs w:val="24"/>
        </w:rPr>
        <w:t xml:space="preserve"> mio. kr</w:t>
      </w:r>
      <w:r w:rsidRPr="00815B3E">
        <w:rPr>
          <w:rFonts w:eastAsia="Calibri" w:cs="Times New Roman"/>
          <w:bCs/>
          <w:color w:val="000000" w:themeColor="text1"/>
          <w:szCs w:val="24"/>
        </w:rPr>
        <w:t>. I 2025 falder værdien med 5</w:t>
      </w:r>
      <w:r w:rsidR="00F07481">
        <w:rPr>
          <w:rFonts w:eastAsia="Calibri" w:cs="Times New Roman"/>
          <w:bCs/>
          <w:color w:val="000000" w:themeColor="text1"/>
          <w:szCs w:val="24"/>
        </w:rPr>
        <w:t xml:space="preserve"> mio. kr.</w:t>
      </w:r>
      <w:r w:rsidRPr="00815B3E">
        <w:rPr>
          <w:rFonts w:eastAsia="Calibri" w:cs="Times New Roman"/>
          <w:bCs/>
          <w:color w:val="000000" w:themeColor="text1"/>
          <w:szCs w:val="24"/>
        </w:rPr>
        <w:t>, som fratrækkes i 2025. I 2026 stiger værdien med 5</w:t>
      </w:r>
      <w:r w:rsidR="00F07481">
        <w:rPr>
          <w:rFonts w:eastAsia="Calibri" w:cs="Times New Roman"/>
          <w:bCs/>
          <w:color w:val="000000" w:themeColor="text1"/>
          <w:szCs w:val="24"/>
        </w:rPr>
        <w:t xml:space="preserve"> mio. kr</w:t>
      </w:r>
      <w:r w:rsidRPr="00815B3E">
        <w:rPr>
          <w:rFonts w:eastAsia="Calibri" w:cs="Times New Roman"/>
          <w:bCs/>
          <w:color w:val="000000" w:themeColor="text1"/>
          <w:szCs w:val="24"/>
        </w:rPr>
        <w:t>. Gevinsten beskattes ikke, men reducerer saldoen til 5</w:t>
      </w:r>
      <w:r w:rsidR="00F07481">
        <w:rPr>
          <w:rFonts w:eastAsia="Calibri" w:cs="Times New Roman"/>
          <w:bCs/>
          <w:color w:val="000000" w:themeColor="text1"/>
          <w:szCs w:val="24"/>
        </w:rPr>
        <w:t xml:space="preserve"> mio. kr</w:t>
      </w:r>
      <w:r w:rsidRPr="00815B3E">
        <w:rPr>
          <w:rFonts w:eastAsia="Calibri" w:cs="Times New Roman"/>
          <w:bCs/>
          <w:color w:val="000000" w:themeColor="text1"/>
          <w:szCs w:val="24"/>
        </w:rPr>
        <w:t>. I 2027 sælges ejendommen for 125</w:t>
      </w:r>
      <w:r w:rsidR="00F07481">
        <w:rPr>
          <w:rFonts w:eastAsia="Calibri" w:cs="Times New Roman"/>
          <w:bCs/>
          <w:color w:val="000000" w:themeColor="text1"/>
          <w:szCs w:val="24"/>
        </w:rPr>
        <w:t xml:space="preserve"> mio. kr.</w:t>
      </w:r>
      <w:r w:rsidRPr="00815B3E">
        <w:rPr>
          <w:rFonts w:eastAsia="Calibri" w:cs="Times New Roman"/>
          <w:bCs/>
          <w:color w:val="000000" w:themeColor="text1"/>
          <w:szCs w:val="24"/>
        </w:rPr>
        <w:t>, hvilket udløser et tab efter lagerprincippet. Den resterende negative saldo på 5</w:t>
      </w:r>
      <w:r w:rsidR="00F07481">
        <w:rPr>
          <w:rFonts w:eastAsia="Calibri" w:cs="Times New Roman"/>
          <w:bCs/>
          <w:color w:val="000000" w:themeColor="text1"/>
          <w:szCs w:val="24"/>
        </w:rPr>
        <w:t xml:space="preserve"> mio. kr.</w:t>
      </w:r>
      <w:r w:rsidRPr="00815B3E">
        <w:rPr>
          <w:rFonts w:eastAsia="Calibri" w:cs="Times New Roman"/>
          <w:bCs/>
          <w:color w:val="000000" w:themeColor="text1"/>
          <w:szCs w:val="24"/>
        </w:rPr>
        <w:t xml:space="preserve"> fradrages samtidig, så salget udløser et samlet fradrag på 10</w:t>
      </w:r>
      <w:r w:rsidR="00F07481">
        <w:rPr>
          <w:rFonts w:eastAsia="Calibri" w:cs="Times New Roman"/>
          <w:bCs/>
          <w:color w:val="000000" w:themeColor="text1"/>
          <w:szCs w:val="24"/>
        </w:rPr>
        <w:t xml:space="preserve"> mio. kr.</w:t>
      </w:r>
      <w:r w:rsidRPr="00815B3E">
        <w:rPr>
          <w:rFonts w:eastAsia="Calibri" w:cs="Times New Roman"/>
          <w:bCs/>
          <w:color w:val="000000" w:themeColor="text1"/>
          <w:szCs w:val="24"/>
        </w:rPr>
        <w:t xml:space="preserve">, der fratrækkes i den skattepligtige indkomst for 2027.  </w:t>
      </w:r>
    </w:p>
    <w:p w14:paraId="23B5F7C1" w14:textId="21F57F97" w:rsidR="006821CD" w:rsidRPr="00815B3E" w:rsidRDefault="003A6E96" w:rsidP="00981FEA">
      <w:pPr>
        <w:spacing w:after="240"/>
        <w:jc w:val="left"/>
        <w:rPr>
          <w:rFonts w:eastAsia="Calibri" w:cs="Times New Roman"/>
          <w:bCs/>
          <w:color w:val="000000" w:themeColor="text1"/>
          <w:szCs w:val="24"/>
        </w:rPr>
      </w:pPr>
      <w:r w:rsidRPr="00815B3E">
        <w:rPr>
          <w:rFonts w:eastAsia="Calibri" w:cs="Times New Roman"/>
          <w:bCs/>
          <w:color w:val="000000" w:themeColor="text1"/>
          <w:szCs w:val="24"/>
        </w:rPr>
        <w:t>Der skal således</w:t>
      </w:r>
      <w:r w:rsidR="00946290" w:rsidRPr="00815B3E">
        <w:rPr>
          <w:rFonts w:eastAsia="Calibri" w:cs="Times New Roman"/>
          <w:bCs/>
          <w:color w:val="000000" w:themeColor="text1"/>
          <w:szCs w:val="24"/>
        </w:rPr>
        <w:t xml:space="preserve"> efter forslaget for ejendomme, der overgår fra beskatning efter realisationsprincippet til beskatning efter lagerprincippet</w:t>
      </w:r>
      <w:r w:rsidR="00F202D0" w:rsidRPr="00815B3E">
        <w:rPr>
          <w:rFonts w:eastAsia="Calibri" w:cs="Times New Roman"/>
          <w:bCs/>
          <w:color w:val="000000" w:themeColor="text1"/>
          <w:szCs w:val="24"/>
        </w:rPr>
        <w:t>,</w:t>
      </w:r>
      <w:r w:rsidRPr="00815B3E">
        <w:rPr>
          <w:rFonts w:eastAsia="Calibri" w:cs="Times New Roman"/>
          <w:bCs/>
          <w:color w:val="000000" w:themeColor="text1"/>
          <w:szCs w:val="24"/>
        </w:rPr>
        <w:t xml:space="preserve"> føres en realisationssaldo ejendom for ejendom</w:t>
      </w:r>
      <w:r w:rsidR="00946290" w:rsidRPr="00815B3E">
        <w:rPr>
          <w:rFonts w:eastAsia="Calibri" w:cs="Times New Roman"/>
          <w:bCs/>
          <w:color w:val="000000" w:themeColor="text1"/>
          <w:szCs w:val="24"/>
        </w:rPr>
        <w:t xml:space="preserve">. Hvis realisationssaldoen er positiv, </w:t>
      </w:r>
      <w:r w:rsidR="006A5105">
        <w:rPr>
          <w:rFonts w:eastAsia="Calibri" w:cs="Times New Roman"/>
          <w:bCs/>
          <w:color w:val="000000" w:themeColor="text1"/>
          <w:szCs w:val="24"/>
        </w:rPr>
        <w:t>skal</w:t>
      </w:r>
      <w:r w:rsidR="006A5105" w:rsidRPr="00815B3E">
        <w:rPr>
          <w:rFonts w:eastAsia="Calibri" w:cs="Times New Roman"/>
          <w:bCs/>
          <w:color w:val="000000" w:themeColor="text1"/>
          <w:szCs w:val="24"/>
        </w:rPr>
        <w:t xml:space="preserve"> </w:t>
      </w:r>
      <w:r w:rsidR="00946290" w:rsidRPr="00815B3E">
        <w:rPr>
          <w:rFonts w:eastAsia="Calibri" w:cs="Times New Roman"/>
          <w:bCs/>
          <w:color w:val="000000" w:themeColor="text1"/>
          <w:szCs w:val="24"/>
        </w:rPr>
        <w:t xml:space="preserve">et tab efter lagerprincippet først </w:t>
      </w:r>
      <w:r w:rsidR="006A5105">
        <w:rPr>
          <w:rFonts w:eastAsia="Calibri" w:cs="Times New Roman"/>
          <w:bCs/>
          <w:color w:val="000000" w:themeColor="text1"/>
          <w:szCs w:val="24"/>
        </w:rPr>
        <w:t xml:space="preserve">kunne </w:t>
      </w:r>
      <w:r w:rsidR="00AC311F" w:rsidRPr="00815B3E">
        <w:rPr>
          <w:rFonts w:eastAsia="Calibri" w:cs="Times New Roman"/>
          <w:bCs/>
          <w:color w:val="000000" w:themeColor="text1"/>
          <w:szCs w:val="24"/>
        </w:rPr>
        <w:t>fra</w:t>
      </w:r>
      <w:r w:rsidR="00946290" w:rsidRPr="00815B3E">
        <w:rPr>
          <w:rFonts w:eastAsia="Calibri" w:cs="Times New Roman"/>
          <w:bCs/>
          <w:color w:val="000000" w:themeColor="text1"/>
          <w:szCs w:val="24"/>
        </w:rPr>
        <w:t xml:space="preserve">trækkes, når saldoen er gået </w:t>
      </w:r>
      <w:r w:rsidR="006821CD" w:rsidRPr="00815B3E">
        <w:rPr>
          <w:rFonts w:eastAsia="Calibri" w:cs="Times New Roman"/>
          <w:bCs/>
          <w:color w:val="000000" w:themeColor="text1"/>
          <w:szCs w:val="24"/>
        </w:rPr>
        <w:t>i nul</w:t>
      </w:r>
      <w:r w:rsidR="00946290" w:rsidRPr="00815B3E">
        <w:rPr>
          <w:rFonts w:eastAsia="Calibri" w:cs="Times New Roman"/>
          <w:bCs/>
          <w:color w:val="000000" w:themeColor="text1"/>
          <w:szCs w:val="24"/>
        </w:rPr>
        <w:t xml:space="preserve">. </w:t>
      </w:r>
      <w:r w:rsidR="00AC311F" w:rsidRPr="00815B3E">
        <w:rPr>
          <w:rFonts w:eastAsia="Calibri" w:cs="Times New Roman"/>
          <w:bCs/>
          <w:color w:val="000000" w:themeColor="text1"/>
          <w:szCs w:val="24"/>
        </w:rPr>
        <w:t>Først</w:t>
      </w:r>
      <w:r w:rsidR="00CC5E14" w:rsidRPr="00815B3E">
        <w:rPr>
          <w:rFonts w:eastAsia="Calibri" w:cs="Times New Roman"/>
          <w:bCs/>
          <w:color w:val="000000" w:themeColor="text1"/>
          <w:szCs w:val="24"/>
        </w:rPr>
        <w:t xml:space="preserve"> efter modregning i den positive realisationssaldo</w:t>
      </w:r>
      <w:r w:rsidR="00AC311F" w:rsidRPr="00815B3E">
        <w:rPr>
          <w:rFonts w:eastAsia="Calibri" w:cs="Times New Roman"/>
          <w:bCs/>
          <w:color w:val="000000" w:themeColor="text1"/>
          <w:szCs w:val="24"/>
        </w:rPr>
        <w:t xml:space="preserve"> </w:t>
      </w:r>
      <w:r w:rsidR="006A5105">
        <w:rPr>
          <w:rFonts w:eastAsia="Calibri" w:cs="Times New Roman"/>
          <w:bCs/>
          <w:color w:val="000000" w:themeColor="text1"/>
          <w:szCs w:val="24"/>
        </w:rPr>
        <w:t>skal</w:t>
      </w:r>
      <w:r w:rsidR="006A5105" w:rsidRPr="00815B3E">
        <w:rPr>
          <w:rFonts w:eastAsia="Calibri" w:cs="Times New Roman"/>
          <w:bCs/>
          <w:color w:val="000000" w:themeColor="text1"/>
          <w:szCs w:val="24"/>
        </w:rPr>
        <w:t xml:space="preserve"> </w:t>
      </w:r>
      <w:r w:rsidR="00CC5E14" w:rsidRPr="00815B3E">
        <w:rPr>
          <w:rFonts w:eastAsia="Calibri" w:cs="Times New Roman"/>
          <w:bCs/>
          <w:color w:val="000000" w:themeColor="text1"/>
          <w:szCs w:val="24"/>
        </w:rPr>
        <w:t xml:space="preserve">et eventuelt </w:t>
      </w:r>
      <w:r w:rsidR="00AC311F" w:rsidRPr="00815B3E">
        <w:rPr>
          <w:rFonts w:eastAsia="Calibri" w:cs="Times New Roman"/>
          <w:bCs/>
          <w:color w:val="000000" w:themeColor="text1"/>
          <w:szCs w:val="24"/>
        </w:rPr>
        <w:t>rest</w:t>
      </w:r>
      <w:r w:rsidR="00B470E5">
        <w:rPr>
          <w:rFonts w:eastAsia="Calibri" w:cs="Times New Roman"/>
          <w:bCs/>
          <w:color w:val="000000" w:themeColor="text1"/>
          <w:szCs w:val="24"/>
        </w:rPr>
        <w:t xml:space="preserve">erende </w:t>
      </w:r>
      <w:r w:rsidR="00AC311F" w:rsidRPr="00815B3E">
        <w:rPr>
          <w:rFonts w:eastAsia="Calibri" w:cs="Times New Roman"/>
          <w:bCs/>
          <w:color w:val="000000" w:themeColor="text1"/>
          <w:szCs w:val="24"/>
        </w:rPr>
        <w:t xml:space="preserve">tab </w:t>
      </w:r>
      <w:r w:rsidR="00B470E5">
        <w:rPr>
          <w:rFonts w:eastAsia="Calibri" w:cs="Times New Roman"/>
          <w:bCs/>
          <w:color w:val="000000" w:themeColor="text1"/>
          <w:szCs w:val="24"/>
        </w:rPr>
        <w:t xml:space="preserve">efter lagerprincippet </w:t>
      </w:r>
      <w:r w:rsidR="006A5105">
        <w:rPr>
          <w:rFonts w:eastAsia="Calibri" w:cs="Times New Roman"/>
          <w:bCs/>
          <w:color w:val="000000" w:themeColor="text1"/>
          <w:szCs w:val="24"/>
        </w:rPr>
        <w:t xml:space="preserve">indgå </w:t>
      </w:r>
      <w:r w:rsidR="00AC311F" w:rsidRPr="00815B3E">
        <w:rPr>
          <w:rFonts w:eastAsia="Calibri" w:cs="Times New Roman"/>
          <w:bCs/>
          <w:color w:val="000000" w:themeColor="text1"/>
          <w:szCs w:val="24"/>
        </w:rPr>
        <w:t xml:space="preserve">i opgørelsen af den skattepligtige indkomst. </w:t>
      </w:r>
      <w:r w:rsidR="00946290" w:rsidRPr="00815B3E">
        <w:rPr>
          <w:rFonts w:eastAsia="Calibri" w:cs="Times New Roman"/>
          <w:bCs/>
          <w:color w:val="000000" w:themeColor="text1"/>
          <w:szCs w:val="24"/>
        </w:rPr>
        <w:t>Hvis realisationssaldoen er negativ, skal en efterfølgende gevinst efter lagerprincippet først beskattes, når saldoen er gået i nul.</w:t>
      </w:r>
      <w:r w:rsidR="006821CD" w:rsidRPr="00815B3E">
        <w:rPr>
          <w:rFonts w:eastAsia="Calibri" w:cs="Times New Roman"/>
          <w:bCs/>
          <w:color w:val="000000" w:themeColor="text1"/>
          <w:szCs w:val="24"/>
        </w:rPr>
        <w:t xml:space="preserve"> </w:t>
      </w:r>
      <w:r w:rsidR="00AC311F" w:rsidRPr="00815B3E">
        <w:rPr>
          <w:rFonts w:eastAsia="Calibri" w:cs="Times New Roman"/>
          <w:bCs/>
          <w:color w:val="000000" w:themeColor="text1"/>
          <w:szCs w:val="24"/>
        </w:rPr>
        <w:t>Først</w:t>
      </w:r>
      <w:r w:rsidR="00CC5E14" w:rsidRPr="00815B3E">
        <w:rPr>
          <w:rFonts w:eastAsia="Calibri" w:cs="Times New Roman"/>
          <w:bCs/>
          <w:color w:val="000000" w:themeColor="text1"/>
          <w:szCs w:val="24"/>
        </w:rPr>
        <w:t xml:space="preserve"> efter modregning i den negative realisationssaldo</w:t>
      </w:r>
      <w:r w:rsidR="00AC311F" w:rsidRPr="00815B3E">
        <w:rPr>
          <w:rFonts w:eastAsia="Calibri" w:cs="Times New Roman"/>
          <w:bCs/>
          <w:color w:val="000000" w:themeColor="text1"/>
          <w:szCs w:val="24"/>
        </w:rPr>
        <w:t xml:space="preserve"> </w:t>
      </w:r>
      <w:r w:rsidR="006A5105">
        <w:rPr>
          <w:rFonts w:eastAsia="Calibri" w:cs="Times New Roman"/>
          <w:bCs/>
          <w:color w:val="000000" w:themeColor="text1"/>
          <w:szCs w:val="24"/>
        </w:rPr>
        <w:t xml:space="preserve">skal </w:t>
      </w:r>
      <w:r w:rsidR="00CC5E14" w:rsidRPr="00815B3E">
        <w:rPr>
          <w:rFonts w:eastAsia="Calibri" w:cs="Times New Roman"/>
          <w:bCs/>
          <w:color w:val="000000" w:themeColor="text1"/>
          <w:szCs w:val="24"/>
        </w:rPr>
        <w:t xml:space="preserve">en eventuel </w:t>
      </w:r>
      <w:r w:rsidR="00AC311F" w:rsidRPr="00815B3E">
        <w:rPr>
          <w:rFonts w:eastAsia="Calibri" w:cs="Times New Roman"/>
          <w:bCs/>
          <w:color w:val="000000" w:themeColor="text1"/>
          <w:szCs w:val="24"/>
        </w:rPr>
        <w:t>rest</w:t>
      </w:r>
      <w:r w:rsidR="00B470E5">
        <w:rPr>
          <w:rFonts w:eastAsia="Calibri" w:cs="Times New Roman"/>
          <w:bCs/>
          <w:color w:val="000000" w:themeColor="text1"/>
          <w:szCs w:val="24"/>
        </w:rPr>
        <w:t xml:space="preserve">erende </w:t>
      </w:r>
      <w:r w:rsidR="00AC311F" w:rsidRPr="00815B3E">
        <w:rPr>
          <w:rFonts w:eastAsia="Calibri" w:cs="Times New Roman"/>
          <w:bCs/>
          <w:color w:val="000000" w:themeColor="text1"/>
          <w:szCs w:val="24"/>
        </w:rPr>
        <w:t>gevinst</w:t>
      </w:r>
      <w:r w:rsidR="00B470E5">
        <w:rPr>
          <w:rFonts w:eastAsia="Calibri" w:cs="Times New Roman"/>
          <w:bCs/>
          <w:color w:val="000000" w:themeColor="text1"/>
          <w:szCs w:val="24"/>
        </w:rPr>
        <w:t xml:space="preserve"> efter lagerprincippet</w:t>
      </w:r>
      <w:r w:rsidR="00AC311F" w:rsidRPr="00815B3E">
        <w:rPr>
          <w:rFonts w:eastAsia="Calibri" w:cs="Times New Roman"/>
          <w:bCs/>
          <w:color w:val="000000" w:themeColor="text1"/>
          <w:szCs w:val="24"/>
        </w:rPr>
        <w:t xml:space="preserve"> </w:t>
      </w:r>
      <w:r w:rsidR="006A5105">
        <w:rPr>
          <w:rFonts w:eastAsia="Calibri" w:cs="Times New Roman"/>
          <w:bCs/>
          <w:color w:val="000000" w:themeColor="text1"/>
          <w:szCs w:val="24"/>
        </w:rPr>
        <w:t xml:space="preserve">indgå </w:t>
      </w:r>
      <w:r w:rsidR="00AC311F" w:rsidRPr="00815B3E">
        <w:rPr>
          <w:rFonts w:eastAsia="Calibri" w:cs="Times New Roman"/>
          <w:bCs/>
          <w:color w:val="000000" w:themeColor="text1"/>
          <w:szCs w:val="24"/>
        </w:rPr>
        <w:t>ved opgørelsen af den skattepligtige indkomst.</w:t>
      </w:r>
    </w:p>
    <w:p w14:paraId="46AC5950" w14:textId="5EC7587E" w:rsidR="00AC311F" w:rsidRPr="00815B3E" w:rsidRDefault="00946290" w:rsidP="00946290">
      <w:pPr>
        <w:spacing w:after="240"/>
        <w:jc w:val="left"/>
        <w:rPr>
          <w:rFonts w:eastAsia="Calibri" w:cs="Times New Roman"/>
          <w:bCs/>
          <w:color w:val="000000" w:themeColor="text1"/>
          <w:szCs w:val="24"/>
        </w:rPr>
      </w:pPr>
      <w:r w:rsidRPr="00815B3E">
        <w:rPr>
          <w:rFonts w:eastAsia="Calibri" w:cs="Times New Roman"/>
          <w:bCs/>
          <w:color w:val="000000" w:themeColor="text1"/>
          <w:szCs w:val="24"/>
        </w:rPr>
        <w:t xml:space="preserve">Det vil således efter </w:t>
      </w:r>
      <w:r w:rsidR="00AC311F" w:rsidRPr="00815B3E">
        <w:rPr>
          <w:rFonts w:eastAsia="Calibri" w:cs="Times New Roman"/>
          <w:bCs/>
          <w:color w:val="000000" w:themeColor="text1"/>
          <w:szCs w:val="24"/>
        </w:rPr>
        <w:t xml:space="preserve">forslaget til </w:t>
      </w:r>
      <w:r w:rsidR="009C3102" w:rsidRPr="00815B3E">
        <w:rPr>
          <w:rFonts w:eastAsia="Calibri" w:cs="Times New Roman"/>
          <w:bCs/>
          <w:color w:val="000000" w:themeColor="text1"/>
          <w:szCs w:val="24"/>
        </w:rPr>
        <w:t>ejendomsavancebeskatningsloven</w:t>
      </w:r>
      <w:r w:rsidR="006A5105">
        <w:rPr>
          <w:rFonts w:eastAsia="Calibri" w:cs="Times New Roman"/>
          <w:bCs/>
          <w:color w:val="000000" w:themeColor="text1"/>
          <w:szCs w:val="24"/>
        </w:rPr>
        <w:t>s</w:t>
      </w:r>
      <w:r w:rsidR="00AC311F" w:rsidRPr="00815B3E">
        <w:rPr>
          <w:rFonts w:eastAsia="Calibri" w:cs="Times New Roman"/>
          <w:bCs/>
          <w:color w:val="000000" w:themeColor="text1"/>
          <w:szCs w:val="24"/>
        </w:rPr>
        <w:t xml:space="preserve"> § 14 D, stk. 2 og 3</w:t>
      </w:r>
      <w:r w:rsidR="00594A3D">
        <w:rPr>
          <w:rFonts w:eastAsia="Calibri" w:cs="Times New Roman"/>
          <w:bCs/>
          <w:color w:val="000000" w:themeColor="text1"/>
          <w:szCs w:val="24"/>
        </w:rPr>
        <w:t>,</w:t>
      </w:r>
      <w:r w:rsidR="00AC311F" w:rsidRPr="00815B3E">
        <w:rPr>
          <w:rFonts w:eastAsia="Calibri" w:cs="Times New Roman"/>
          <w:bCs/>
          <w:color w:val="000000" w:themeColor="text1"/>
          <w:szCs w:val="24"/>
        </w:rPr>
        <w:t xml:space="preserve"> være</w:t>
      </w:r>
      <w:r w:rsidRPr="00815B3E">
        <w:rPr>
          <w:rFonts w:eastAsia="Calibri" w:cs="Times New Roman"/>
          <w:bCs/>
          <w:color w:val="000000" w:themeColor="text1"/>
          <w:szCs w:val="24"/>
        </w:rPr>
        <w:t xml:space="preserve"> det opgjorte fradragsberettigede tab efter modregning af en positiv realisationssaldo</w:t>
      </w:r>
      <w:r w:rsidR="006A5105">
        <w:rPr>
          <w:rFonts w:eastAsia="Calibri" w:cs="Times New Roman"/>
          <w:bCs/>
          <w:color w:val="000000" w:themeColor="text1"/>
          <w:szCs w:val="24"/>
        </w:rPr>
        <w:t>,</w:t>
      </w:r>
      <w:r w:rsidRPr="00815B3E">
        <w:rPr>
          <w:rFonts w:eastAsia="Calibri" w:cs="Times New Roman"/>
          <w:bCs/>
          <w:color w:val="000000" w:themeColor="text1"/>
          <w:szCs w:val="24"/>
        </w:rPr>
        <w:t xml:space="preserve"> og den opgjorte skattepligtige gevinst efter </w:t>
      </w:r>
      <w:r w:rsidRPr="00815B3E">
        <w:rPr>
          <w:rFonts w:eastAsia="Calibri" w:cs="Times New Roman"/>
          <w:bCs/>
          <w:color w:val="000000" w:themeColor="text1"/>
          <w:szCs w:val="24"/>
        </w:rPr>
        <w:lastRenderedPageBreak/>
        <w:t>modregning af en negativ realisationssaldo</w:t>
      </w:r>
      <w:r w:rsidR="006A5105">
        <w:rPr>
          <w:rFonts w:eastAsia="Calibri" w:cs="Times New Roman"/>
          <w:bCs/>
          <w:color w:val="000000" w:themeColor="text1"/>
          <w:szCs w:val="24"/>
        </w:rPr>
        <w:t>,</w:t>
      </w:r>
      <w:r w:rsidR="00594A3D">
        <w:rPr>
          <w:rFonts w:eastAsia="Calibri" w:cs="Times New Roman"/>
          <w:bCs/>
          <w:color w:val="000000" w:themeColor="text1"/>
          <w:szCs w:val="24"/>
        </w:rPr>
        <w:t xml:space="preserve"> </w:t>
      </w:r>
      <w:r w:rsidR="00AC311F" w:rsidRPr="00815B3E">
        <w:rPr>
          <w:rFonts w:eastAsia="Calibri" w:cs="Times New Roman"/>
          <w:bCs/>
          <w:color w:val="000000" w:themeColor="text1"/>
          <w:szCs w:val="24"/>
        </w:rPr>
        <w:t xml:space="preserve">der </w:t>
      </w:r>
      <w:r w:rsidRPr="00815B3E">
        <w:rPr>
          <w:rFonts w:eastAsia="Calibri" w:cs="Times New Roman"/>
          <w:bCs/>
          <w:color w:val="000000" w:themeColor="text1"/>
          <w:szCs w:val="24"/>
        </w:rPr>
        <w:t xml:space="preserve">vil skulle medregnes </w:t>
      </w:r>
      <w:r w:rsidR="00594A3D">
        <w:rPr>
          <w:rFonts w:eastAsia="Calibri" w:cs="Times New Roman"/>
          <w:bCs/>
          <w:color w:val="000000" w:themeColor="text1"/>
          <w:szCs w:val="24"/>
        </w:rPr>
        <w:t>ved opgørelsen af</w:t>
      </w:r>
      <w:r w:rsidRPr="00815B3E">
        <w:rPr>
          <w:rFonts w:eastAsia="Calibri" w:cs="Times New Roman"/>
          <w:bCs/>
          <w:color w:val="000000" w:themeColor="text1"/>
          <w:szCs w:val="24"/>
        </w:rPr>
        <w:t xml:space="preserve"> selskabets skattepligtige</w:t>
      </w:r>
      <w:r w:rsidR="00B470E5">
        <w:rPr>
          <w:rFonts w:eastAsia="Calibri" w:cs="Times New Roman"/>
          <w:bCs/>
          <w:color w:val="000000" w:themeColor="text1"/>
          <w:szCs w:val="24"/>
        </w:rPr>
        <w:t xml:space="preserve"> indkomst</w:t>
      </w:r>
      <w:r w:rsidR="00AC311F" w:rsidRPr="00815B3E">
        <w:rPr>
          <w:rFonts w:eastAsia="Calibri" w:cs="Times New Roman"/>
          <w:bCs/>
          <w:color w:val="000000" w:themeColor="text1"/>
          <w:szCs w:val="24"/>
        </w:rPr>
        <w:t xml:space="preserve">. </w:t>
      </w:r>
    </w:p>
    <w:p w14:paraId="40DD9B52" w14:textId="6AE88F9F" w:rsidR="00946290" w:rsidRPr="00815B3E" w:rsidRDefault="006821CD" w:rsidP="00981FEA">
      <w:pPr>
        <w:spacing w:after="240"/>
        <w:jc w:val="left"/>
        <w:rPr>
          <w:rFonts w:eastAsia="Calibri" w:cs="Times New Roman"/>
          <w:bCs/>
          <w:color w:val="000000" w:themeColor="text1"/>
          <w:szCs w:val="24"/>
        </w:rPr>
      </w:pPr>
      <w:r w:rsidRPr="00815B3E">
        <w:rPr>
          <w:rFonts w:eastAsia="Calibri" w:cs="Times New Roman"/>
          <w:bCs/>
          <w:color w:val="000000" w:themeColor="text1"/>
          <w:szCs w:val="24"/>
        </w:rPr>
        <w:t>Ejes ejendommen af et selskab, der indgår i en sambeskatning efter selskabsskattelovens §§ 31 og 31 A, skal den skattepligtige indkomst opgøres i henhold til sambeskatningsreglerne.</w:t>
      </w:r>
      <w:r w:rsidR="00AC311F" w:rsidRPr="00815B3E">
        <w:rPr>
          <w:rFonts w:eastAsia="Calibri" w:cs="Times New Roman"/>
          <w:bCs/>
          <w:color w:val="000000" w:themeColor="text1"/>
          <w:szCs w:val="24"/>
        </w:rPr>
        <w:t xml:space="preserve"> Også i relation til sambeskatningsreglerne, herunder reglerne om anvendelse af skattemæssige underskud under en sambeskatning, vil de nævnte gevinster og tab skulle anses for skattepligtige og fradragsberettig</w:t>
      </w:r>
      <w:r w:rsidR="00CC5E14" w:rsidRPr="00815B3E">
        <w:rPr>
          <w:rFonts w:eastAsia="Calibri" w:cs="Times New Roman"/>
          <w:bCs/>
          <w:color w:val="000000" w:themeColor="text1"/>
          <w:szCs w:val="24"/>
        </w:rPr>
        <w:t>e</w:t>
      </w:r>
      <w:r w:rsidR="00AC311F" w:rsidRPr="00815B3E">
        <w:rPr>
          <w:rFonts w:eastAsia="Calibri" w:cs="Times New Roman"/>
          <w:bCs/>
          <w:color w:val="000000" w:themeColor="text1"/>
          <w:szCs w:val="24"/>
        </w:rPr>
        <w:t xml:space="preserve">de i de anførte indkomstår, dvs. efter at </w:t>
      </w:r>
      <w:r w:rsidR="00CC5E14" w:rsidRPr="00815B3E">
        <w:rPr>
          <w:rFonts w:eastAsia="Calibri" w:cs="Times New Roman"/>
          <w:bCs/>
          <w:color w:val="000000" w:themeColor="text1"/>
          <w:szCs w:val="24"/>
        </w:rPr>
        <w:t>der er sket modregning i en eventuel realisationssaldo.</w:t>
      </w:r>
      <w:r w:rsidR="00AC311F" w:rsidRPr="00815B3E">
        <w:rPr>
          <w:rFonts w:eastAsia="Calibri" w:cs="Times New Roman"/>
          <w:bCs/>
          <w:color w:val="000000" w:themeColor="text1"/>
          <w:szCs w:val="24"/>
        </w:rPr>
        <w:t xml:space="preserve"> </w:t>
      </w:r>
      <w:r w:rsidR="00B37EB6" w:rsidRPr="00815B3E">
        <w:rPr>
          <w:rFonts w:eastAsia="Calibri" w:cs="Times New Roman"/>
          <w:bCs/>
          <w:color w:val="000000" w:themeColor="text1"/>
          <w:szCs w:val="24"/>
        </w:rPr>
        <w:t xml:space="preserve"> </w:t>
      </w:r>
    </w:p>
    <w:p w14:paraId="49B27A37" w14:textId="015EB64A" w:rsidR="00CF5AED" w:rsidRPr="00815B3E" w:rsidRDefault="005C50B1" w:rsidP="00981FEA">
      <w:pPr>
        <w:spacing w:after="240"/>
        <w:jc w:val="left"/>
        <w:rPr>
          <w:rFonts w:eastAsia="Calibri" w:cs="Times New Roman"/>
          <w:b/>
          <w:i/>
          <w:color w:val="000000" w:themeColor="text1"/>
          <w:szCs w:val="24"/>
        </w:rPr>
      </w:pPr>
      <w:r w:rsidRPr="00815B3E">
        <w:rPr>
          <w:rFonts w:eastAsia="Calibri" w:cs="Times New Roman"/>
          <w:bCs/>
          <w:color w:val="000000" w:themeColor="text1"/>
          <w:szCs w:val="24"/>
        </w:rPr>
        <w:t xml:space="preserve">Det foreslås </w:t>
      </w:r>
      <w:r w:rsidR="009B4260" w:rsidRPr="00815B3E">
        <w:rPr>
          <w:rFonts w:eastAsia="Calibri" w:cs="Times New Roman"/>
          <w:bCs/>
          <w:color w:val="000000" w:themeColor="text1"/>
          <w:szCs w:val="24"/>
        </w:rPr>
        <w:t>endeligt</w:t>
      </w:r>
      <w:r w:rsidRPr="00815B3E">
        <w:rPr>
          <w:rFonts w:eastAsia="Calibri" w:cs="Times New Roman"/>
          <w:bCs/>
          <w:color w:val="000000" w:themeColor="text1"/>
          <w:szCs w:val="24"/>
        </w:rPr>
        <w:t>, at der indsættes en overskrift i ejendomsavancebeskatningsloven</w:t>
      </w:r>
      <w:r w:rsidR="009B4260" w:rsidRPr="00815B3E">
        <w:rPr>
          <w:rFonts w:eastAsia="Calibri" w:cs="Times New Roman"/>
          <w:bCs/>
          <w:color w:val="000000" w:themeColor="text1"/>
          <w:szCs w:val="24"/>
        </w:rPr>
        <w:t>, som lyder</w:t>
      </w:r>
      <w:r w:rsidR="00CF5AED" w:rsidRPr="00815B3E">
        <w:rPr>
          <w:rFonts w:eastAsia="Calibri" w:cs="Times New Roman"/>
          <w:bCs/>
          <w:color w:val="000000" w:themeColor="text1"/>
          <w:szCs w:val="24"/>
        </w:rPr>
        <w:t>:</w:t>
      </w:r>
      <w:r w:rsidR="009B4260" w:rsidRPr="00815B3E">
        <w:rPr>
          <w:rFonts w:eastAsia="Calibri" w:cs="Times New Roman"/>
          <w:bCs/>
          <w:color w:val="000000" w:themeColor="text1"/>
          <w:szCs w:val="24"/>
        </w:rPr>
        <w:t xml:space="preserve"> </w:t>
      </w:r>
      <w:r w:rsidR="009B4260" w:rsidRPr="00815B3E">
        <w:rPr>
          <w:rFonts w:eastAsia="Calibri" w:cs="Times New Roman"/>
          <w:bCs/>
          <w:i/>
          <w:iCs/>
          <w:color w:val="000000" w:themeColor="text1"/>
          <w:szCs w:val="24"/>
        </w:rPr>
        <w:t>”</w:t>
      </w:r>
      <w:r w:rsidR="00DC4636" w:rsidRPr="00815B3E">
        <w:rPr>
          <w:rFonts w:eastAsia="Calibri" w:cs="Times New Roman"/>
          <w:bCs/>
          <w:i/>
          <w:iCs/>
          <w:color w:val="000000" w:themeColor="text1"/>
          <w:szCs w:val="24"/>
        </w:rPr>
        <w:t>Kap</w:t>
      </w:r>
      <w:r w:rsidR="006A5105">
        <w:rPr>
          <w:rFonts w:eastAsia="Calibri" w:cs="Times New Roman"/>
          <w:bCs/>
          <w:i/>
          <w:iCs/>
          <w:color w:val="000000" w:themeColor="text1"/>
          <w:szCs w:val="24"/>
        </w:rPr>
        <w:t>itel</w:t>
      </w:r>
      <w:r w:rsidR="00DC4636" w:rsidRPr="00815B3E">
        <w:rPr>
          <w:rFonts w:eastAsia="Calibri" w:cs="Times New Roman"/>
          <w:bCs/>
          <w:i/>
          <w:iCs/>
          <w:color w:val="000000" w:themeColor="text1"/>
          <w:szCs w:val="24"/>
        </w:rPr>
        <w:t>. 4. Ikrafttrædelse m.v.</w:t>
      </w:r>
      <w:r w:rsidR="009B4260" w:rsidRPr="00815B3E">
        <w:rPr>
          <w:rFonts w:eastAsia="Calibri" w:cs="Times New Roman"/>
          <w:bCs/>
          <w:i/>
          <w:iCs/>
          <w:color w:val="000000" w:themeColor="text1"/>
          <w:szCs w:val="24"/>
        </w:rPr>
        <w:t>”.</w:t>
      </w:r>
      <w:r w:rsidR="00DC4636" w:rsidRPr="00815B3E">
        <w:rPr>
          <w:rFonts w:eastAsia="Calibri" w:cs="Times New Roman"/>
          <w:b/>
          <w:i/>
          <w:color w:val="000000" w:themeColor="text1"/>
          <w:szCs w:val="24"/>
        </w:rPr>
        <w:t xml:space="preserve"> </w:t>
      </w:r>
    </w:p>
    <w:p w14:paraId="52C3E861" w14:textId="6B3F7051" w:rsidR="00676E9F" w:rsidRPr="00815B3E" w:rsidRDefault="00676E9F" w:rsidP="00676E9F">
      <w:pPr>
        <w:spacing w:after="240"/>
        <w:jc w:val="center"/>
        <w:rPr>
          <w:rFonts w:eastAsia="Calibri" w:cs="Times New Roman"/>
          <w:i/>
          <w:color w:val="000000" w:themeColor="text1"/>
          <w:szCs w:val="24"/>
        </w:rPr>
      </w:pPr>
      <w:r w:rsidRPr="00815B3E">
        <w:rPr>
          <w:rFonts w:eastAsia="Calibri" w:cs="Times New Roman"/>
          <w:i/>
          <w:color w:val="000000" w:themeColor="text1"/>
          <w:szCs w:val="24"/>
        </w:rPr>
        <w:t xml:space="preserve">Til § </w:t>
      </w:r>
      <w:r>
        <w:rPr>
          <w:rFonts w:eastAsia="Calibri" w:cs="Times New Roman"/>
          <w:i/>
          <w:color w:val="000000" w:themeColor="text1"/>
          <w:szCs w:val="24"/>
        </w:rPr>
        <w:t>2</w:t>
      </w:r>
    </w:p>
    <w:p w14:paraId="40B6B711" w14:textId="77777777" w:rsidR="00676E9F" w:rsidRPr="00815B3E" w:rsidRDefault="00676E9F" w:rsidP="00676E9F">
      <w:pPr>
        <w:spacing w:after="240"/>
        <w:rPr>
          <w:rFonts w:eastAsia="Calibri" w:cs="Times New Roman"/>
          <w:color w:val="000000" w:themeColor="text1"/>
          <w:szCs w:val="24"/>
        </w:rPr>
      </w:pPr>
      <w:r w:rsidRPr="00815B3E">
        <w:rPr>
          <w:rFonts w:eastAsia="Calibri" w:cs="Times New Roman"/>
          <w:color w:val="000000" w:themeColor="text1"/>
          <w:szCs w:val="24"/>
        </w:rPr>
        <w:t>Til nr. 1</w:t>
      </w:r>
    </w:p>
    <w:p w14:paraId="3C99DB3F" w14:textId="77777777" w:rsidR="00676E9F" w:rsidRPr="00815B3E" w:rsidRDefault="00676E9F" w:rsidP="00676E9F">
      <w:pPr>
        <w:spacing w:after="240"/>
        <w:rPr>
          <w:rFonts w:eastAsia="Calibri" w:cs="Times New Roman"/>
          <w:color w:val="000000" w:themeColor="text1"/>
          <w:szCs w:val="24"/>
        </w:rPr>
      </w:pPr>
      <w:r w:rsidRPr="00815B3E">
        <w:rPr>
          <w:rFonts w:eastAsia="Calibri" w:cs="Times New Roman"/>
          <w:color w:val="000000" w:themeColor="text1"/>
          <w:szCs w:val="24"/>
        </w:rPr>
        <w:t xml:space="preserve">Afskrivningsloven indeholder reglerne for skattemæssige afskrivninger på erhvervsmæssigt benyttede aktiver såsom bygninger og installationer i bygninger. </w:t>
      </w:r>
    </w:p>
    <w:p w14:paraId="757CD215" w14:textId="77777777" w:rsidR="00676E9F" w:rsidRPr="00815B3E" w:rsidRDefault="00676E9F" w:rsidP="00676E9F">
      <w:pPr>
        <w:spacing w:after="240"/>
        <w:rPr>
          <w:rFonts w:eastAsia="Calibri" w:cs="Times New Roman"/>
          <w:color w:val="000000" w:themeColor="text1"/>
          <w:szCs w:val="24"/>
        </w:rPr>
      </w:pPr>
      <w:r w:rsidRPr="00815B3E">
        <w:rPr>
          <w:rFonts w:eastAsia="Calibri" w:cs="Times New Roman"/>
          <w:color w:val="000000" w:themeColor="text1"/>
          <w:szCs w:val="24"/>
        </w:rPr>
        <w:t xml:space="preserve">Udgangspunktet i afskrivningsloven er, at </w:t>
      </w:r>
      <w:r>
        <w:rPr>
          <w:rFonts w:eastAsia="Calibri" w:cs="Times New Roman"/>
          <w:color w:val="000000" w:themeColor="text1"/>
          <w:szCs w:val="24"/>
        </w:rPr>
        <w:t xml:space="preserve">investeringer i </w:t>
      </w:r>
      <w:r w:rsidRPr="00815B3E">
        <w:rPr>
          <w:rFonts w:eastAsia="Calibri" w:cs="Times New Roman"/>
          <w:color w:val="000000" w:themeColor="text1"/>
          <w:szCs w:val="24"/>
        </w:rPr>
        <w:t xml:space="preserve">bygninger og installationer afskrives med 4 pct. årligt i forhold til anskaffelsessummen. </w:t>
      </w:r>
    </w:p>
    <w:p w14:paraId="5094536F" w14:textId="77777777" w:rsidR="00676E9F" w:rsidRPr="00815B3E" w:rsidRDefault="00676E9F" w:rsidP="00676E9F">
      <w:pPr>
        <w:spacing w:after="240"/>
        <w:rPr>
          <w:rFonts w:eastAsia="Calibri" w:cs="Times New Roman"/>
          <w:color w:val="000000" w:themeColor="text1"/>
          <w:szCs w:val="24"/>
        </w:rPr>
      </w:pPr>
      <w:r w:rsidRPr="00815B3E">
        <w:rPr>
          <w:rFonts w:eastAsia="Calibri" w:cs="Times New Roman"/>
          <w:color w:val="000000" w:themeColor="text1"/>
          <w:szCs w:val="24"/>
        </w:rPr>
        <w:t xml:space="preserve">Det styrende for adgangen til at foretage skattemæssige afskrivninger på bygninger er bygningernes faktiske anvendelse. Udgangspunktet er, at der </w:t>
      </w:r>
      <w:r>
        <w:rPr>
          <w:rFonts w:eastAsia="Calibri" w:cs="Times New Roman"/>
          <w:color w:val="000000" w:themeColor="text1"/>
          <w:szCs w:val="24"/>
        </w:rPr>
        <w:t xml:space="preserve">ikke </w:t>
      </w:r>
      <w:r w:rsidRPr="00815B3E">
        <w:rPr>
          <w:rFonts w:eastAsia="Calibri" w:cs="Times New Roman"/>
          <w:color w:val="000000" w:themeColor="text1"/>
          <w:szCs w:val="24"/>
        </w:rPr>
        <w:t xml:space="preserve">kan afskrives på bygninger, der i almindelighed ikke er udsat for slitage </w:t>
      </w:r>
      <w:r>
        <w:rPr>
          <w:rFonts w:eastAsia="Calibri" w:cs="Times New Roman"/>
          <w:color w:val="000000" w:themeColor="text1"/>
          <w:szCs w:val="24"/>
        </w:rPr>
        <w:t xml:space="preserve">i </w:t>
      </w:r>
      <w:r w:rsidRPr="00815B3E">
        <w:rPr>
          <w:rFonts w:eastAsia="Calibri" w:cs="Times New Roman"/>
          <w:color w:val="000000" w:themeColor="text1"/>
          <w:szCs w:val="24"/>
        </w:rPr>
        <w:t xml:space="preserve">særlig grad. </w:t>
      </w:r>
    </w:p>
    <w:p w14:paraId="6551A110" w14:textId="77777777" w:rsidR="00676E9F" w:rsidRPr="00815B3E" w:rsidRDefault="00676E9F" w:rsidP="00676E9F">
      <w:pPr>
        <w:spacing w:after="240"/>
        <w:rPr>
          <w:rFonts w:eastAsia="Calibri" w:cs="Times New Roman"/>
          <w:color w:val="000000" w:themeColor="text1"/>
          <w:szCs w:val="24"/>
        </w:rPr>
      </w:pPr>
      <w:r w:rsidRPr="00815B3E">
        <w:rPr>
          <w:rFonts w:eastAsia="Calibri" w:cs="Times New Roman"/>
          <w:color w:val="000000" w:themeColor="text1"/>
          <w:szCs w:val="24"/>
        </w:rPr>
        <w:t>Der kan således f.eks. afskrives på produktionsbygninger, forretningslokaler og lagerbygninger. Bygninger, der anvendes til f.eks. beboelse, hotel, kontor eller som pengeinstitut eller hospital</w:t>
      </w:r>
      <w:r>
        <w:rPr>
          <w:rFonts w:eastAsia="Calibri" w:cs="Times New Roman"/>
          <w:color w:val="000000" w:themeColor="text1"/>
          <w:szCs w:val="24"/>
        </w:rPr>
        <w:t>,</w:t>
      </w:r>
      <w:r w:rsidRPr="00815B3E">
        <w:rPr>
          <w:rFonts w:eastAsia="Calibri" w:cs="Times New Roman"/>
          <w:color w:val="000000" w:themeColor="text1"/>
          <w:szCs w:val="24"/>
        </w:rPr>
        <w:t xml:space="preserve"> kan </w:t>
      </w:r>
      <w:r>
        <w:rPr>
          <w:rFonts w:eastAsia="Calibri" w:cs="Times New Roman"/>
          <w:color w:val="000000" w:themeColor="text1"/>
          <w:szCs w:val="24"/>
        </w:rPr>
        <w:t xml:space="preserve">der </w:t>
      </w:r>
      <w:r w:rsidRPr="00815B3E">
        <w:rPr>
          <w:rFonts w:eastAsia="Calibri" w:cs="Times New Roman"/>
          <w:color w:val="000000" w:themeColor="text1"/>
          <w:szCs w:val="24"/>
        </w:rPr>
        <w:t>derimod ikke afskrives</w:t>
      </w:r>
      <w:r>
        <w:rPr>
          <w:rFonts w:eastAsia="Calibri" w:cs="Times New Roman"/>
          <w:color w:val="000000" w:themeColor="text1"/>
          <w:szCs w:val="24"/>
        </w:rPr>
        <w:t xml:space="preserve"> på</w:t>
      </w:r>
      <w:r w:rsidRPr="00815B3E">
        <w:rPr>
          <w:rFonts w:eastAsia="Calibri" w:cs="Times New Roman"/>
          <w:color w:val="000000" w:themeColor="text1"/>
          <w:szCs w:val="24"/>
        </w:rPr>
        <w:t xml:space="preserve">. </w:t>
      </w:r>
    </w:p>
    <w:p w14:paraId="079CD78E" w14:textId="77777777" w:rsidR="00676E9F" w:rsidRPr="00815B3E" w:rsidRDefault="00676E9F" w:rsidP="00676E9F">
      <w:pPr>
        <w:spacing w:after="240"/>
        <w:rPr>
          <w:rFonts w:eastAsia="Calibri" w:cs="Times New Roman"/>
          <w:color w:val="000000" w:themeColor="text1"/>
          <w:szCs w:val="24"/>
        </w:rPr>
      </w:pPr>
      <w:r w:rsidRPr="00815B3E">
        <w:rPr>
          <w:rFonts w:eastAsia="Calibri" w:cs="Times New Roman"/>
          <w:color w:val="000000" w:themeColor="text1"/>
          <w:szCs w:val="24"/>
        </w:rPr>
        <w:t>Installationer i både afskrivningsberettigede og ikke afskrivningsberettigede bygninger kan afskrives. Det er en forudsætning for afskrivning, at bygningerne og installationerne anvendes erhvervsmæssigt.</w:t>
      </w:r>
    </w:p>
    <w:p w14:paraId="270615EA" w14:textId="77777777" w:rsidR="00676E9F" w:rsidRPr="00815B3E" w:rsidRDefault="00676E9F" w:rsidP="00676E9F">
      <w:pPr>
        <w:spacing w:after="240"/>
        <w:rPr>
          <w:rFonts w:eastAsia="Calibri" w:cs="Times New Roman"/>
          <w:color w:val="000000" w:themeColor="text1"/>
          <w:szCs w:val="24"/>
        </w:rPr>
      </w:pPr>
      <w:r w:rsidRPr="00815B3E">
        <w:rPr>
          <w:rFonts w:eastAsia="Calibri" w:cs="Times New Roman"/>
          <w:color w:val="000000" w:themeColor="text1"/>
          <w:szCs w:val="24"/>
        </w:rPr>
        <w:t>Udgifter, der afholdes til ombygning eller forbedring, afskrives på samme måde som de bygninger og installationer, der ombygges eller forbedres.</w:t>
      </w:r>
    </w:p>
    <w:p w14:paraId="2F8375BF" w14:textId="0BC939DD" w:rsidR="00676E9F" w:rsidRPr="00815B3E" w:rsidRDefault="00676E9F" w:rsidP="00676E9F">
      <w:pPr>
        <w:spacing w:after="240"/>
        <w:rPr>
          <w:rFonts w:eastAsia="Calibri" w:cs="Times New Roman"/>
          <w:i/>
          <w:iCs/>
          <w:color w:val="000000" w:themeColor="text1"/>
          <w:szCs w:val="24"/>
        </w:rPr>
      </w:pPr>
      <w:r w:rsidRPr="00815B3E">
        <w:rPr>
          <w:rFonts w:eastAsia="Calibri" w:cs="Times New Roman"/>
          <w:color w:val="000000" w:themeColor="text1"/>
          <w:szCs w:val="24"/>
        </w:rPr>
        <w:lastRenderedPageBreak/>
        <w:t xml:space="preserve">Det foreslås, at der </w:t>
      </w:r>
      <w:r w:rsidR="00E35A5B">
        <w:rPr>
          <w:rFonts w:eastAsia="Calibri" w:cs="Times New Roman"/>
          <w:color w:val="000000" w:themeColor="text1"/>
          <w:szCs w:val="24"/>
        </w:rPr>
        <w:t xml:space="preserve">i afskrivningslovens </w:t>
      </w:r>
      <w:r w:rsidR="00E35A5B" w:rsidRPr="00255CB9">
        <w:rPr>
          <w:rFonts w:eastAsia="Calibri" w:cs="Times New Roman"/>
          <w:i/>
          <w:iCs/>
          <w:color w:val="000000" w:themeColor="text1"/>
          <w:szCs w:val="24"/>
        </w:rPr>
        <w:t>§ 1</w:t>
      </w:r>
      <w:r w:rsidR="00E35A5B">
        <w:rPr>
          <w:rFonts w:eastAsia="Calibri" w:cs="Times New Roman"/>
          <w:color w:val="000000" w:themeColor="text1"/>
          <w:szCs w:val="24"/>
        </w:rPr>
        <w:t xml:space="preserve"> </w:t>
      </w:r>
      <w:r w:rsidRPr="00815B3E">
        <w:rPr>
          <w:rFonts w:eastAsia="Calibri" w:cs="Times New Roman"/>
          <w:color w:val="000000" w:themeColor="text1"/>
          <w:szCs w:val="24"/>
        </w:rPr>
        <w:t>indsættes et</w:t>
      </w:r>
      <w:r w:rsidRPr="00815B3E">
        <w:rPr>
          <w:rFonts w:eastAsia="Calibri" w:cs="Times New Roman"/>
          <w:i/>
          <w:iCs/>
          <w:color w:val="000000" w:themeColor="text1"/>
          <w:szCs w:val="24"/>
        </w:rPr>
        <w:t xml:space="preserve"> stk. 2</w:t>
      </w:r>
      <w:r w:rsidRPr="00815B3E">
        <w:rPr>
          <w:rFonts w:eastAsia="Calibri" w:cs="Times New Roman"/>
          <w:color w:val="000000" w:themeColor="text1"/>
          <w:szCs w:val="24"/>
        </w:rPr>
        <w:t xml:space="preserve"> i</w:t>
      </w:r>
      <w:r w:rsidRPr="00815B3E">
        <w:rPr>
          <w:rFonts w:eastAsia="Calibri" w:cs="Times New Roman"/>
          <w:i/>
          <w:iCs/>
          <w:color w:val="000000" w:themeColor="text1"/>
          <w:szCs w:val="24"/>
        </w:rPr>
        <w:t xml:space="preserve">, </w:t>
      </w:r>
      <w:r w:rsidRPr="00815B3E">
        <w:rPr>
          <w:rFonts w:eastAsia="Calibri" w:cs="Times New Roman"/>
          <w:color w:val="000000" w:themeColor="text1"/>
          <w:szCs w:val="24"/>
        </w:rPr>
        <w:t>hvorefter</w:t>
      </w:r>
      <w:r w:rsidRPr="00815B3E">
        <w:rPr>
          <w:rFonts w:eastAsia="Calibri" w:cs="Times New Roman"/>
          <w:bCs/>
          <w:color w:val="000000" w:themeColor="text1"/>
          <w:szCs w:val="24"/>
        </w:rPr>
        <w:t xml:space="preserve"> der ikke</w:t>
      </w:r>
      <w:r w:rsidR="00E35A5B">
        <w:rPr>
          <w:rFonts w:eastAsia="Calibri" w:cs="Times New Roman"/>
          <w:bCs/>
          <w:color w:val="000000" w:themeColor="text1"/>
          <w:szCs w:val="24"/>
        </w:rPr>
        <w:t xml:space="preserve"> skal kunne</w:t>
      </w:r>
      <w:r w:rsidRPr="00815B3E">
        <w:rPr>
          <w:rFonts w:eastAsia="Calibri" w:cs="Times New Roman"/>
          <w:bCs/>
          <w:color w:val="000000" w:themeColor="text1"/>
          <w:szCs w:val="24"/>
        </w:rPr>
        <w:t xml:space="preserve"> foretages skattemæssig afskrivning på udgifter til anskaffelse, ombygning eller forbedring af aktiver vedrørende ejendomme, der lagerbeskattes efter ejendomsavancebeskatningslovens kapitel 3.</w:t>
      </w:r>
    </w:p>
    <w:p w14:paraId="6148DBA7" w14:textId="41BD8317" w:rsidR="00676E9F" w:rsidRPr="00815B3E" w:rsidRDefault="00676E9F" w:rsidP="00676E9F">
      <w:pPr>
        <w:spacing w:after="240"/>
        <w:rPr>
          <w:rFonts w:eastAsia="Calibri" w:cs="Times New Roman"/>
          <w:color w:val="000000" w:themeColor="text1"/>
          <w:szCs w:val="24"/>
        </w:rPr>
      </w:pPr>
      <w:r w:rsidRPr="00815B3E">
        <w:rPr>
          <w:rFonts w:eastAsia="Calibri" w:cs="Times New Roman"/>
          <w:color w:val="000000" w:themeColor="text1"/>
          <w:szCs w:val="24"/>
        </w:rPr>
        <w:t>De</w:t>
      </w:r>
      <w:r>
        <w:rPr>
          <w:rFonts w:eastAsia="Calibri" w:cs="Times New Roman"/>
          <w:color w:val="000000" w:themeColor="text1"/>
          <w:szCs w:val="24"/>
        </w:rPr>
        <w:t>n</w:t>
      </w:r>
      <w:r w:rsidRPr="00815B3E">
        <w:rPr>
          <w:rFonts w:eastAsia="Calibri" w:cs="Times New Roman"/>
          <w:color w:val="000000" w:themeColor="text1"/>
          <w:szCs w:val="24"/>
        </w:rPr>
        <w:t xml:space="preserve"> foreslåede ændring vil medføre, at der ikke kan afskrives på bygninger og installationer m.v., som er en del af en fast ejendom, der lagerbeskattes efter det foreslåede kapitel 3 i ejendomsavancebeskatningslovens, jf. lovforslagets § </w:t>
      </w:r>
      <w:r>
        <w:rPr>
          <w:rFonts w:eastAsia="Calibri" w:cs="Times New Roman"/>
          <w:color w:val="000000" w:themeColor="text1"/>
          <w:szCs w:val="24"/>
        </w:rPr>
        <w:t>1</w:t>
      </w:r>
      <w:r w:rsidRPr="00815B3E">
        <w:rPr>
          <w:rFonts w:eastAsia="Calibri" w:cs="Times New Roman"/>
          <w:color w:val="000000" w:themeColor="text1"/>
          <w:szCs w:val="24"/>
        </w:rPr>
        <w:t xml:space="preserve">, nr. 5. </w:t>
      </w:r>
    </w:p>
    <w:p w14:paraId="431F8982" w14:textId="1E5ADEDA" w:rsidR="00676E9F" w:rsidRPr="00815B3E" w:rsidRDefault="00676E9F" w:rsidP="00676E9F">
      <w:pPr>
        <w:spacing w:after="240"/>
        <w:rPr>
          <w:rFonts w:eastAsia="Calibri" w:cs="Times New Roman"/>
          <w:color w:val="000000" w:themeColor="text1"/>
          <w:szCs w:val="24"/>
        </w:rPr>
      </w:pPr>
      <w:r w:rsidRPr="00815B3E">
        <w:rPr>
          <w:rFonts w:eastAsia="Calibri" w:cs="Times New Roman"/>
          <w:color w:val="000000" w:themeColor="text1"/>
          <w:szCs w:val="24"/>
        </w:rPr>
        <w:t xml:space="preserve">Dette skyldes, at den foreslåede løbende lagerbeskatning betyder, at en løbende faktisk værdiforringelse af en afskrivningsberettiget bygning eller installation alt andet lige vil reflektere sig i en lavere handelsværdi, som skal udgøre beskatningsgrundlaget for den løbende lagerbeskatning. </w:t>
      </w:r>
      <w:r>
        <w:rPr>
          <w:rFonts w:eastAsia="Calibri" w:cs="Times New Roman"/>
          <w:color w:val="000000" w:themeColor="text1"/>
          <w:szCs w:val="24"/>
        </w:rPr>
        <w:t xml:space="preserve">En værdiforringelse af en ejendom vil derfor i lagerbeskatningen isoleret set udgøre et fradragsberettiget tab. </w:t>
      </w:r>
      <w:r w:rsidRPr="00815B3E">
        <w:rPr>
          <w:rFonts w:eastAsia="Calibri" w:cs="Times New Roman"/>
          <w:color w:val="000000" w:themeColor="text1"/>
          <w:szCs w:val="24"/>
        </w:rPr>
        <w:t xml:space="preserve">Værdiforringelsen bør derfor ikke tillige kunne fradrages som en løbende afskrivning </w:t>
      </w:r>
      <w:r w:rsidR="00E35A5B">
        <w:rPr>
          <w:rFonts w:eastAsia="Calibri" w:cs="Times New Roman"/>
          <w:color w:val="000000" w:themeColor="text1"/>
          <w:szCs w:val="24"/>
        </w:rPr>
        <w:t>ved opgørelsen af</w:t>
      </w:r>
      <w:r w:rsidRPr="00815B3E">
        <w:rPr>
          <w:rFonts w:eastAsia="Calibri" w:cs="Times New Roman"/>
          <w:color w:val="000000" w:themeColor="text1"/>
          <w:szCs w:val="24"/>
        </w:rPr>
        <w:t xml:space="preserve"> selskabets skattepligtige indkomst, idet der herved reelt ville kunne opnås et dobbelt fradrag for den samme værdiforringelse. </w:t>
      </w:r>
    </w:p>
    <w:p w14:paraId="2BEB1306" w14:textId="1F240E57" w:rsidR="00676E9F" w:rsidRDefault="00676E9F" w:rsidP="00676E9F">
      <w:pPr>
        <w:spacing w:after="240"/>
        <w:rPr>
          <w:rFonts w:eastAsia="Calibri" w:cs="Times New Roman"/>
          <w:color w:val="000000" w:themeColor="text1"/>
          <w:szCs w:val="24"/>
        </w:rPr>
      </w:pPr>
      <w:r w:rsidRPr="00815B3E">
        <w:rPr>
          <w:rFonts w:eastAsia="Calibri" w:cs="Times New Roman"/>
          <w:color w:val="000000" w:themeColor="text1"/>
          <w:szCs w:val="24"/>
        </w:rPr>
        <w:t>Det foreslåede forbud mod at foretage skattemæssige afskrivninger vedrørende ejendomme, der lagerbeskattes efter den foreslåede bestemmelse i ejendomsavancebeskatningslovens kapit</w:t>
      </w:r>
      <w:r>
        <w:rPr>
          <w:rFonts w:eastAsia="Calibri" w:cs="Times New Roman"/>
          <w:color w:val="000000" w:themeColor="text1"/>
          <w:szCs w:val="24"/>
        </w:rPr>
        <w:t>e</w:t>
      </w:r>
      <w:r w:rsidRPr="00815B3E">
        <w:rPr>
          <w:rFonts w:eastAsia="Calibri" w:cs="Times New Roman"/>
          <w:color w:val="000000" w:themeColor="text1"/>
          <w:szCs w:val="24"/>
        </w:rPr>
        <w:t xml:space="preserve">l 3, vil både gælde afskrivninger efter afskrivningsloven og afskrivninger efter anden lovgivning. Det foreslåede forbud </w:t>
      </w:r>
      <w:r w:rsidR="00594A3D">
        <w:rPr>
          <w:rFonts w:eastAsia="Calibri" w:cs="Times New Roman"/>
          <w:color w:val="000000" w:themeColor="text1"/>
          <w:szCs w:val="24"/>
        </w:rPr>
        <w:t xml:space="preserve">vil </w:t>
      </w:r>
      <w:r w:rsidRPr="00815B3E">
        <w:rPr>
          <w:rFonts w:eastAsia="Calibri" w:cs="Times New Roman"/>
          <w:color w:val="000000" w:themeColor="text1"/>
          <w:szCs w:val="24"/>
        </w:rPr>
        <w:t>gælde afskrivning af alle aktiver, der indgår i den faste ejendom, herunder bygninger, installationer, drænings- og markvandingsanlæg og udlejede værelser. Der vil efter forslaget heller ikke kunne afskrives på den værdiforringelse, der sker på en ejendom som følge af udnyttelse af forekomster i form af grus, ler, kalk m.v.</w:t>
      </w:r>
    </w:p>
    <w:p w14:paraId="74459C00" w14:textId="77777777" w:rsidR="00676E9F" w:rsidRDefault="00676E9F" w:rsidP="00676E9F">
      <w:pPr>
        <w:spacing w:after="240"/>
        <w:rPr>
          <w:rFonts w:eastAsia="Calibri" w:cs="Times New Roman"/>
          <w:color w:val="000000" w:themeColor="text1"/>
          <w:szCs w:val="24"/>
        </w:rPr>
      </w:pPr>
      <w:r>
        <w:rPr>
          <w:rFonts w:eastAsia="Calibri" w:cs="Times New Roman"/>
          <w:color w:val="000000" w:themeColor="text1"/>
          <w:szCs w:val="24"/>
        </w:rPr>
        <w:t xml:space="preserve">Afskrivninger foretaget på ejendomme, som efter forslaget overgår til beskatning efter lagerprincippet, vil efter den foreslåede § 14 C, stk. 3, i ejendomsavancebeskatningsloven skulle opgøres på tidspunktet for overgang til lagerbeskatning. Genvundne afskrivninger beskattes, og et eventuelt tab fratrækkes ved ejendommens egentlige afståelse eller modregnes eventuelt i tab henholdsvis gevinster under lagerbeskatningen, jf. den foreslåede § 14 D i ejendomsavancebeskatningsloven.  </w:t>
      </w:r>
    </w:p>
    <w:p w14:paraId="071CA306" w14:textId="2D7EAF80" w:rsidR="00B2156C" w:rsidRDefault="00B2156C" w:rsidP="00B2156C">
      <w:pPr>
        <w:spacing w:after="240"/>
        <w:jc w:val="left"/>
        <w:rPr>
          <w:rFonts w:eastAsia="Calibri" w:cs="Times New Roman"/>
          <w:bCs/>
          <w:iCs/>
          <w:color w:val="000000" w:themeColor="text1"/>
          <w:szCs w:val="24"/>
        </w:rPr>
      </w:pPr>
    </w:p>
    <w:p w14:paraId="2B3AD365" w14:textId="514F289D" w:rsidR="004E00DD" w:rsidRPr="00815B3E" w:rsidRDefault="004E00DD" w:rsidP="004E00DD">
      <w:pPr>
        <w:spacing w:after="240"/>
        <w:jc w:val="center"/>
        <w:rPr>
          <w:rFonts w:cs="Times New Roman"/>
          <w:i/>
          <w:color w:val="000000" w:themeColor="text1"/>
          <w:szCs w:val="24"/>
        </w:rPr>
      </w:pPr>
      <w:r w:rsidRPr="00815B3E">
        <w:rPr>
          <w:rFonts w:cs="Times New Roman"/>
          <w:i/>
          <w:color w:val="000000" w:themeColor="text1"/>
          <w:szCs w:val="24"/>
        </w:rPr>
        <w:t xml:space="preserve">Til § </w:t>
      </w:r>
      <w:r>
        <w:rPr>
          <w:rFonts w:cs="Times New Roman"/>
          <w:i/>
          <w:color w:val="000000" w:themeColor="text1"/>
          <w:szCs w:val="24"/>
        </w:rPr>
        <w:t>3</w:t>
      </w:r>
    </w:p>
    <w:p w14:paraId="0ACC8EDB" w14:textId="64D60259" w:rsidR="004E00DD" w:rsidRPr="00815B3E" w:rsidRDefault="004E00DD" w:rsidP="004E00DD">
      <w:pPr>
        <w:rPr>
          <w:color w:val="000000" w:themeColor="text1"/>
        </w:rPr>
      </w:pPr>
      <w:r w:rsidRPr="00815B3E">
        <w:rPr>
          <w:color w:val="000000" w:themeColor="text1"/>
        </w:rPr>
        <w:t xml:space="preserve">Til nr. 1 og 2 </w:t>
      </w:r>
    </w:p>
    <w:p w14:paraId="64910DC5" w14:textId="77777777" w:rsidR="004E00DD" w:rsidRPr="00815B3E" w:rsidRDefault="004E00DD" w:rsidP="004E00DD">
      <w:pPr>
        <w:rPr>
          <w:color w:val="000000" w:themeColor="text1"/>
        </w:rPr>
      </w:pPr>
      <w:r w:rsidRPr="00815B3E">
        <w:rPr>
          <w:color w:val="000000" w:themeColor="text1"/>
        </w:rPr>
        <w:lastRenderedPageBreak/>
        <w:t xml:space="preserve">De gældende regler i investorfradragsloven giver personer et fradrag for en del af investeringen i visse små og mellemstore unoterede selskaber, der befinder sig i en opstarts- eller vækstfase. </w:t>
      </w:r>
    </w:p>
    <w:p w14:paraId="2BCA30D5" w14:textId="77777777" w:rsidR="004E00DD" w:rsidRPr="00815B3E" w:rsidRDefault="004E00DD" w:rsidP="004E00DD">
      <w:pPr>
        <w:rPr>
          <w:color w:val="000000" w:themeColor="text1"/>
        </w:rPr>
      </w:pPr>
    </w:p>
    <w:p w14:paraId="06C0354C" w14:textId="77777777" w:rsidR="004E00DD" w:rsidRPr="00815B3E" w:rsidRDefault="004E00DD" w:rsidP="004E00DD">
      <w:pPr>
        <w:rPr>
          <w:color w:val="000000" w:themeColor="text1"/>
        </w:rPr>
      </w:pPr>
      <w:r w:rsidRPr="00815B3E">
        <w:rPr>
          <w:color w:val="000000" w:themeColor="text1"/>
        </w:rPr>
        <w:t>En række betingelser skal være opfyldt, for at en investor kan få ret til et investorfradrag. Der stilles bl.a. betingelser til investeringen (§ 2), til målselskabet for investeringen (§ 3-5) og til investor (§ 6). Ingen af disse betingelser foreslås ændret med lovforslaget.</w:t>
      </w:r>
    </w:p>
    <w:p w14:paraId="16C956E4" w14:textId="77777777" w:rsidR="004E00DD" w:rsidRPr="00815B3E" w:rsidRDefault="004E00DD" w:rsidP="004E00DD">
      <w:pPr>
        <w:rPr>
          <w:color w:val="000000" w:themeColor="text1"/>
        </w:rPr>
      </w:pPr>
    </w:p>
    <w:p w14:paraId="451717BC" w14:textId="77777777" w:rsidR="004E00DD" w:rsidRPr="00815B3E" w:rsidRDefault="004E00DD" w:rsidP="004E00DD">
      <w:pPr>
        <w:rPr>
          <w:color w:val="000000" w:themeColor="text1"/>
        </w:rPr>
      </w:pPr>
      <w:r w:rsidRPr="00815B3E">
        <w:rPr>
          <w:color w:val="000000" w:themeColor="text1"/>
        </w:rPr>
        <w:t xml:space="preserve">Det følger af investorfradragslovens § 7, stk. 2, 1. pkt., at der ved direkte erhvervelse af aktier i et målselskab som nævnt i lovens § 2, stk. 1, nr. 1, højst kan opnås investorfradrag på grundlag af en anskaffelsessum som opgjort efter § 7, stk. 1, 1. pkt., på 400.000 kr. for hvert </w:t>
      </w:r>
      <w:r>
        <w:rPr>
          <w:color w:val="000000" w:themeColor="text1"/>
        </w:rPr>
        <w:t>af</w:t>
      </w:r>
      <w:r w:rsidRPr="00815B3E">
        <w:rPr>
          <w:color w:val="000000" w:themeColor="text1"/>
        </w:rPr>
        <w:t xml:space="preserve"> indkomstårene 2019 til 2022 og 800.000 kr. i 2023 og senere indkomstår. </w:t>
      </w:r>
    </w:p>
    <w:p w14:paraId="21F655E6" w14:textId="77777777" w:rsidR="004E00DD" w:rsidRPr="00815B3E" w:rsidRDefault="004E00DD" w:rsidP="004E00DD">
      <w:pPr>
        <w:rPr>
          <w:color w:val="000000" w:themeColor="text1"/>
        </w:rPr>
      </w:pPr>
    </w:p>
    <w:p w14:paraId="024A20CA" w14:textId="77777777" w:rsidR="004E00DD" w:rsidRPr="00815B3E" w:rsidRDefault="004E00DD" w:rsidP="004E00DD">
      <w:pPr>
        <w:rPr>
          <w:color w:val="000000" w:themeColor="text1"/>
        </w:rPr>
      </w:pPr>
      <w:r w:rsidRPr="00815B3E">
        <w:rPr>
          <w:color w:val="000000" w:themeColor="text1"/>
        </w:rPr>
        <w:t xml:space="preserve">Af investorfradragslovens § 7, stk. 2, 2. pkt., fremgår det, at der ved indirekte erhvervelse af aktier gennem en investorfradragsfond som nævnt i lovens § 2, stk. 1, nr. 2, højst kan opnås investorfradrag på grundlag af en anskaffelsessum som opgjort efter § 7, stk. 1, 1. pkt., på 125.000 kr. for hvert </w:t>
      </w:r>
      <w:r>
        <w:rPr>
          <w:color w:val="000000" w:themeColor="text1"/>
        </w:rPr>
        <w:t>af</w:t>
      </w:r>
      <w:r w:rsidRPr="00815B3E">
        <w:rPr>
          <w:color w:val="000000" w:themeColor="text1"/>
        </w:rPr>
        <w:t xml:space="preserve"> indkomstårene 2019 til 2022 og 250.000 kr. i 2023 og senere indkomstår. Efter gældende ret sker der således en forhøjelse af loftet for investorfradraget fra 2023 for både direkte og indirekte investeringer.</w:t>
      </w:r>
    </w:p>
    <w:p w14:paraId="70D89CC1" w14:textId="77777777" w:rsidR="004E00DD" w:rsidRPr="00815B3E" w:rsidRDefault="004E00DD" w:rsidP="004E00DD">
      <w:pPr>
        <w:rPr>
          <w:color w:val="000000" w:themeColor="text1"/>
        </w:rPr>
      </w:pPr>
    </w:p>
    <w:p w14:paraId="41027ADF" w14:textId="2032F6C0" w:rsidR="004E00DD" w:rsidRPr="00815B3E" w:rsidRDefault="004E00DD" w:rsidP="004E00DD">
      <w:pPr>
        <w:rPr>
          <w:color w:val="000000" w:themeColor="text1"/>
        </w:rPr>
      </w:pPr>
      <w:r w:rsidRPr="00815B3E">
        <w:rPr>
          <w:color w:val="000000" w:themeColor="text1"/>
        </w:rPr>
        <w:t xml:space="preserve">Det </w:t>
      </w:r>
      <w:proofErr w:type="gramStart"/>
      <w:r w:rsidRPr="00815B3E">
        <w:rPr>
          <w:color w:val="000000" w:themeColor="text1"/>
        </w:rPr>
        <w:t>foreslås</w:t>
      </w:r>
      <w:r w:rsidR="006A5105">
        <w:rPr>
          <w:color w:val="000000" w:themeColor="text1"/>
        </w:rPr>
        <w:t>,</w:t>
      </w:r>
      <w:r w:rsidRPr="00815B3E">
        <w:rPr>
          <w:i/>
          <w:iCs/>
          <w:color w:val="000000" w:themeColor="text1"/>
        </w:rPr>
        <w:t>,</w:t>
      </w:r>
      <w:proofErr w:type="gramEnd"/>
      <w:r w:rsidRPr="00815B3E">
        <w:rPr>
          <w:i/>
          <w:iCs/>
          <w:color w:val="000000" w:themeColor="text1"/>
        </w:rPr>
        <w:t xml:space="preserve"> </w:t>
      </w:r>
      <w:r w:rsidRPr="00815B3E">
        <w:rPr>
          <w:color w:val="000000" w:themeColor="text1"/>
        </w:rPr>
        <w:t>at den nævnte forhøjelse af loftet for investorfradraget til 800.000 kr. for direkte investeringer</w:t>
      </w:r>
      <w:r w:rsidR="006A5105">
        <w:rPr>
          <w:color w:val="000000" w:themeColor="text1"/>
        </w:rPr>
        <w:t xml:space="preserve"> fra og med 2023 i § 7, stk. 2, 1. pkt. udgår. Der foreslås ligeledes, at den nævnte forhøjelse af loftet for investorfradraget</w:t>
      </w:r>
      <w:r w:rsidRPr="00815B3E">
        <w:rPr>
          <w:color w:val="000000" w:themeColor="text1"/>
        </w:rPr>
        <w:t xml:space="preserve"> til 250.000 kr. for indirekte investeringer fra og med indkomståret 2023 </w:t>
      </w:r>
      <w:r w:rsidR="006A5105">
        <w:rPr>
          <w:color w:val="000000" w:themeColor="text1"/>
        </w:rPr>
        <w:t>udgår</w:t>
      </w:r>
      <w:r w:rsidRPr="00815B3E">
        <w:rPr>
          <w:color w:val="000000" w:themeColor="text1"/>
        </w:rPr>
        <w:t>. Det betyder, at loftet for investorfradraget fra og med indkomståret 2023 vil være det samme som det</w:t>
      </w:r>
      <w:r>
        <w:rPr>
          <w:color w:val="000000" w:themeColor="text1"/>
        </w:rPr>
        <w:t xml:space="preserve"> er</w:t>
      </w:r>
      <w:r w:rsidRPr="00815B3E">
        <w:rPr>
          <w:color w:val="000000" w:themeColor="text1"/>
        </w:rPr>
        <w:t xml:space="preserve"> i dag, dvs. 400.000 kr. for direkte investeringer og 125.000 kr. for indirekte investeringer. </w:t>
      </w:r>
    </w:p>
    <w:p w14:paraId="0A624152" w14:textId="77777777" w:rsidR="004E00DD" w:rsidRPr="00815B3E" w:rsidRDefault="004E00DD" w:rsidP="00B2156C">
      <w:pPr>
        <w:spacing w:after="240"/>
        <w:jc w:val="left"/>
        <w:rPr>
          <w:rFonts w:eastAsia="Calibri" w:cs="Times New Roman"/>
          <w:bCs/>
          <w:iCs/>
          <w:color w:val="000000" w:themeColor="text1"/>
          <w:szCs w:val="24"/>
        </w:rPr>
      </w:pPr>
    </w:p>
    <w:p w14:paraId="0ECF7D1B" w14:textId="5E30F831" w:rsidR="00B2156C" w:rsidRPr="00815B3E" w:rsidRDefault="00B2156C" w:rsidP="00B2156C">
      <w:pPr>
        <w:spacing w:after="240"/>
        <w:jc w:val="center"/>
        <w:rPr>
          <w:rFonts w:cs="Times New Roman"/>
          <w:i/>
          <w:color w:val="000000" w:themeColor="text1"/>
          <w:szCs w:val="24"/>
        </w:rPr>
      </w:pPr>
      <w:r w:rsidRPr="00815B3E">
        <w:rPr>
          <w:rFonts w:cs="Times New Roman"/>
          <w:i/>
          <w:color w:val="000000" w:themeColor="text1"/>
          <w:szCs w:val="24"/>
        </w:rPr>
        <w:t xml:space="preserve">Til § </w:t>
      </w:r>
      <w:r w:rsidR="004E00DD">
        <w:rPr>
          <w:rFonts w:cs="Times New Roman"/>
          <w:i/>
          <w:color w:val="000000" w:themeColor="text1"/>
          <w:szCs w:val="24"/>
        </w:rPr>
        <w:t>4</w:t>
      </w:r>
    </w:p>
    <w:p w14:paraId="48FF20CB" w14:textId="77777777" w:rsidR="00B2156C" w:rsidRPr="00815B3E" w:rsidRDefault="00B2156C" w:rsidP="00B2156C">
      <w:pPr>
        <w:spacing w:after="240"/>
        <w:rPr>
          <w:rFonts w:cs="Times New Roman"/>
          <w:color w:val="000000" w:themeColor="text1"/>
          <w:szCs w:val="24"/>
        </w:rPr>
      </w:pPr>
      <w:r w:rsidRPr="00815B3E">
        <w:rPr>
          <w:rFonts w:cs="Times New Roman"/>
          <w:color w:val="000000" w:themeColor="text1"/>
          <w:szCs w:val="24"/>
        </w:rPr>
        <w:t>Til nr. 1</w:t>
      </w:r>
    </w:p>
    <w:p w14:paraId="7E99D71F" w14:textId="185F5B4F" w:rsidR="00B2156C" w:rsidRPr="00815B3E" w:rsidRDefault="00B2156C" w:rsidP="00B2156C">
      <w:pPr>
        <w:rPr>
          <w:rFonts w:eastAsia="Calibri" w:cs="Times New Roman"/>
          <w:bCs/>
          <w:color w:val="000000" w:themeColor="text1"/>
          <w:szCs w:val="24"/>
        </w:rPr>
      </w:pPr>
      <w:r w:rsidRPr="00815B3E">
        <w:rPr>
          <w:rFonts w:eastAsia="Calibri" w:cs="Times New Roman"/>
          <w:bCs/>
          <w:color w:val="000000" w:themeColor="text1"/>
          <w:szCs w:val="24"/>
        </w:rPr>
        <w:t>Efter reglerne i fusionsskattelovens kan aktiver og passiver under nærmere betingelser overdrages med skattemæssig succession fra et selskab til et andet, uden at det overdragende (indskydende) selskab skal medregne en fortjeneste på aktiverne og passiverne</w:t>
      </w:r>
      <w:r w:rsidR="006A5105">
        <w:rPr>
          <w:rFonts w:eastAsia="Calibri" w:cs="Times New Roman"/>
          <w:bCs/>
          <w:color w:val="000000" w:themeColor="text1"/>
          <w:szCs w:val="24"/>
        </w:rPr>
        <w:t xml:space="preserve"> </w:t>
      </w:r>
      <w:r w:rsidR="00B82D21">
        <w:rPr>
          <w:rFonts w:eastAsia="Calibri" w:cs="Times New Roman"/>
          <w:bCs/>
          <w:color w:val="000000" w:themeColor="text1"/>
          <w:szCs w:val="24"/>
        </w:rPr>
        <w:t xml:space="preserve">ved opgørelsen </w:t>
      </w:r>
      <w:r w:rsidR="006A5105">
        <w:rPr>
          <w:rFonts w:eastAsia="Calibri" w:cs="Times New Roman"/>
          <w:bCs/>
          <w:color w:val="000000" w:themeColor="text1"/>
          <w:szCs w:val="24"/>
        </w:rPr>
        <w:t>af den skattepligtige indkomst</w:t>
      </w:r>
      <w:r w:rsidRPr="00815B3E">
        <w:rPr>
          <w:rFonts w:eastAsia="Calibri" w:cs="Times New Roman"/>
          <w:bCs/>
          <w:color w:val="000000" w:themeColor="text1"/>
          <w:szCs w:val="24"/>
        </w:rPr>
        <w:t xml:space="preserve">. </w:t>
      </w:r>
    </w:p>
    <w:p w14:paraId="6EDEB61F" w14:textId="77777777" w:rsidR="00B2156C" w:rsidRPr="00815B3E" w:rsidRDefault="00B2156C" w:rsidP="00B2156C">
      <w:pPr>
        <w:rPr>
          <w:rFonts w:eastAsia="Calibri" w:cs="Times New Roman"/>
          <w:bCs/>
          <w:color w:val="000000" w:themeColor="text1"/>
          <w:szCs w:val="24"/>
        </w:rPr>
      </w:pPr>
    </w:p>
    <w:p w14:paraId="70FDB8D2" w14:textId="7B84F7D1" w:rsidR="00B2156C" w:rsidRDefault="00B2156C" w:rsidP="00B2156C">
      <w:pPr>
        <w:rPr>
          <w:rFonts w:eastAsia="Calibri" w:cs="Times New Roman"/>
          <w:bCs/>
          <w:color w:val="000000" w:themeColor="text1"/>
          <w:szCs w:val="24"/>
        </w:rPr>
      </w:pPr>
      <w:r w:rsidRPr="00815B3E">
        <w:rPr>
          <w:rFonts w:eastAsia="Calibri" w:cs="Times New Roman"/>
          <w:bCs/>
          <w:color w:val="000000" w:themeColor="text1"/>
          <w:szCs w:val="24"/>
        </w:rPr>
        <w:lastRenderedPageBreak/>
        <w:t xml:space="preserve">Reglerne om skattefri fusion betyder, at det modtagende selskab succederer (indtræder) i det indskydende selskabs skattemæssige stilling i relation til de overtagne aktiver og passiver. Det indskydende selskab realisationsbeskattes således ikke af kapitalgevinster og genvundne afskrivninger på de aktiver, der overtages af det modtagende selskab. Til gengæld indtræder det modtagende selskab i det indskydende selskabs anskaffelsestidspunkter, anskaffelsessummer og en eventuel næringsstatus. Realisationsbeskatningen udskydes således til det tidspunkt, hvor det modtagende selskab afstår de pågældende aktiver. </w:t>
      </w:r>
    </w:p>
    <w:p w14:paraId="3724172B" w14:textId="3C5A81A6" w:rsidR="00F51273" w:rsidRDefault="00F51273" w:rsidP="00B2156C">
      <w:pPr>
        <w:rPr>
          <w:rFonts w:eastAsia="Calibri" w:cs="Times New Roman"/>
          <w:bCs/>
          <w:color w:val="000000" w:themeColor="text1"/>
          <w:szCs w:val="24"/>
        </w:rPr>
      </w:pPr>
    </w:p>
    <w:p w14:paraId="772C89E1" w14:textId="4754026C" w:rsidR="00F51273" w:rsidRPr="00815B3E" w:rsidRDefault="00F51273" w:rsidP="00B2156C">
      <w:pPr>
        <w:rPr>
          <w:rFonts w:eastAsia="Calibri" w:cs="Times New Roman"/>
          <w:bCs/>
          <w:color w:val="000000" w:themeColor="text1"/>
          <w:szCs w:val="24"/>
        </w:rPr>
      </w:pPr>
      <w:r>
        <w:rPr>
          <w:rFonts w:eastAsia="Calibri" w:cs="Times New Roman"/>
          <w:bCs/>
          <w:color w:val="000000" w:themeColor="text1"/>
          <w:szCs w:val="24"/>
        </w:rPr>
        <w:t>Et underskud hos det indskydende selskab kan efter de gældende regler ikke overtages af det modtagende selskab, men det bortfalder ved fusionen. Tab i et af selskaberne fra før fusionen kan heller ikke fratrækkes af det modtagende selskab efter fusionen, jf. fusionsskattelovens § 8, stk. 6-8.</w:t>
      </w:r>
    </w:p>
    <w:p w14:paraId="50A85057" w14:textId="77777777" w:rsidR="00B2156C" w:rsidRPr="00815B3E" w:rsidRDefault="00B2156C" w:rsidP="00B2156C">
      <w:pPr>
        <w:rPr>
          <w:rFonts w:eastAsia="Calibri" w:cs="Times New Roman"/>
          <w:bCs/>
          <w:color w:val="000000" w:themeColor="text1"/>
          <w:szCs w:val="24"/>
        </w:rPr>
      </w:pPr>
    </w:p>
    <w:p w14:paraId="641F03C7" w14:textId="22DC9937" w:rsidR="00B2156C" w:rsidRPr="00815B3E" w:rsidRDefault="00B2156C" w:rsidP="00B2156C">
      <w:pPr>
        <w:rPr>
          <w:rFonts w:eastAsia="Calibri" w:cs="Times New Roman"/>
          <w:bCs/>
          <w:color w:val="000000" w:themeColor="text1"/>
          <w:szCs w:val="24"/>
        </w:rPr>
      </w:pPr>
      <w:r w:rsidRPr="00815B3E">
        <w:rPr>
          <w:rFonts w:eastAsia="Calibri" w:cs="Times New Roman"/>
          <w:bCs/>
          <w:color w:val="000000" w:themeColor="text1"/>
          <w:szCs w:val="24"/>
        </w:rPr>
        <w:t>Reglerne om skattefri fusion m</w:t>
      </w:r>
      <w:r w:rsidR="00FA5729">
        <w:rPr>
          <w:rFonts w:eastAsia="Calibri" w:cs="Times New Roman"/>
          <w:bCs/>
          <w:color w:val="000000" w:themeColor="text1"/>
          <w:szCs w:val="24"/>
        </w:rPr>
        <w:t>e</w:t>
      </w:r>
      <w:r w:rsidRPr="00815B3E">
        <w:rPr>
          <w:rFonts w:eastAsia="Calibri" w:cs="Times New Roman"/>
          <w:bCs/>
          <w:color w:val="000000" w:themeColor="text1"/>
          <w:szCs w:val="24"/>
        </w:rPr>
        <w:t xml:space="preserve">d succession gælder også ved skattefri spaltning og ved skattefri tilførsel af aktiver. </w:t>
      </w:r>
    </w:p>
    <w:p w14:paraId="14E0D1E5" w14:textId="77777777" w:rsidR="00B2156C" w:rsidRPr="00815B3E" w:rsidRDefault="00B2156C" w:rsidP="00B2156C">
      <w:pPr>
        <w:rPr>
          <w:rFonts w:eastAsia="Calibri" w:cs="Times New Roman"/>
          <w:bCs/>
          <w:color w:val="000000" w:themeColor="text1"/>
          <w:szCs w:val="24"/>
        </w:rPr>
      </w:pPr>
    </w:p>
    <w:p w14:paraId="0FE1078D" w14:textId="77777777" w:rsidR="00B2156C" w:rsidRPr="00815B3E" w:rsidRDefault="00B2156C" w:rsidP="00B2156C">
      <w:pPr>
        <w:rPr>
          <w:rFonts w:eastAsia="Calibri" w:cs="Times New Roman"/>
          <w:bCs/>
          <w:color w:val="000000" w:themeColor="text1"/>
          <w:szCs w:val="24"/>
        </w:rPr>
      </w:pPr>
      <w:r w:rsidRPr="00815B3E">
        <w:rPr>
          <w:rFonts w:eastAsia="Calibri" w:cs="Times New Roman"/>
          <w:bCs/>
          <w:color w:val="000000" w:themeColor="text1"/>
          <w:szCs w:val="24"/>
        </w:rPr>
        <w:t xml:space="preserve">Fusion foreligger, når et selskab overdrager sin formue som helhed til et andet selskab eller sammensmeltes med dette, jf. fusionsskattelovens § 1, stk. 3. </w:t>
      </w:r>
    </w:p>
    <w:p w14:paraId="46EB5908" w14:textId="77777777" w:rsidR="00B2156C" w:rsidRPr="00815B3E" w:rsidRDefault="00B2156C" w:rsidP="00B2156C">
      <w:pPr>
        <w:rPr>
          <w:rFonts w:eastAsia="Calibri" w:cs="Times New Roman"/>
          <w:bCs/>
          <w:color w:val="000000" w:themeColor="text1"/>
          <w:szCs w:val="24"/>
        </w:rPr>
      </w:pPr>
    </w:p>
    <w:p w14:paraId="4DC35335" w14:textId="77777777" w:rsidR="00B2156C" w:rsidRPr="00815B3E" w:rsidRDefault="00B2156C" w:rsidP="00B2156C">
      <w:pPr>
        <w:rPr>
          <w:rFonts w:eastAsia="Calibri" w:cs="Times New Roman"/>
          <w:bCs/>
          <w:color w:val="000000" w:themeColor="text1"/>
          <w:szCs w:val="24"/>
        </w:rPr>
      </w:pPr>
      <w:r w:rsidRPr="00815B3E">
        <w:rPr>
          <w:rFonts w:eastAsia="Calibri" w:cs="Times New Roman"/>
          <w:bCs/>
          <w:color w:val="000000" w:themeColor="text1"/>
          <w:szCs w:val="24"/>
        </w:rPr>
        <w:t xml:space="preserve">Spaltning foreligger, når et selskab overfører en del af eller samtlige sine aktiver og passiver til et andet eller flere selskaber ved at tildele sine selskabsdeltagere aktier eller anparter og eventuelt en kontant udligningssum, jf. fusionsskattelovens § 15 A, stk. 2.  </w:t>
      </w:r>
    </w:p>
    <w:p w14:paraId="595C0726" w14:textId="77777777" w:rsidR="00B2156C" w:rsidRPr="00815B3E" w:rsidRDefault="00B2156C" w:rsidP="00B2156C">
      <w:pPr>
        <w:rPr>
          <w:rFonts w:eastAsia="Calibri" w:cs="Times New Roman"/>
          <w:bCs/>
          <w:color w:val="000000" w:themeColor="text1"/>
          <w:szCs w:val="24"/>
        </w:rPr>
      </w:pPr>
    </w:p>
    <w:p w14:paraId="3A8B100D" w14:textId="122595DC" w:rsidR="00B2156C" w:rsidRPr="00815B3E" w:rsidRDefault="00B2156C" w:rsidP="00B2156C">
      <w:pPr>
        <w:rPr>
          <w:rFonts w:eastAsia="Calibri" w:cs="Times New Roman"/>
          <w:bCs/>
          <w:color w:val="000000" w:themeColor="text1"/>
          <w:szCs w:val="24"/>
        </w:rPr>
      </w:pPr>
      <w:r w:rsidRPr="00815B3E">
        <w:rPr>
          <w:rFonts w:eastAsia="Calibri" w:cs="Times New Roman"/>
          <w:bCs/>
          <w:color w:val="000000" w:themeColor="text1"/>
          <w:szCs w:val="24"/>
        </w:rPr>
        <w:t>Tilførsel af aktiver foreligger, når et selskab uden at være opløst tilfører den samlede</w:t>
      </w:r>
      <w:r w:rsidR="006A5105">
        <w:rPr>
          <w:rFonts w:eastAsia="Calibri" w:cs="Times New Roman"/>
          <w:bCs/>
          <w:color w:val="000000" w:themeColor="text1"/>
          <w:szCs w:val="24"/>
        </w:rPr>
        <w:t xml:space="preserve"> virksomhed</w:t>
      </w:r>
      <w:r w:rsidRPr="00815B3E">
        <w:rPr>
          <w:rFonts w:eastAsia="Calibri" w:cs="Times New Roman"/>
          <w:bCs/>
          <w:color w:val="000000" w:themeColor="text1"/>
          <w:szCs w:val="24"/>
        </w:rPr>
        <w:t xml:space="preserve"> eller en eller flere grene af sin virksomhed til et andet selskab mod at få tildelt aktier eller anparter i det modtagende selskabs kapital, jf. fusionsskattelovens § 15 C, stk. 2.</w:t>
      </w:r>
    </w:p>
    <w:p w14:paraId="03F394FF" w14:textId="77777777" w:rsidR="00B2156C" w:rsidRPr="00815B3E" w:rsidRDefault="00B2156C" w:rsidP="00B2156C">
      <w:pPr>
        <w:rPr>
          <w:rFonts w:eastAsia="Calibri" w:cs="Times New Roman"/>
          <w:bCs/>
          <w:color w:val="000000" w:themeColor="text1"/>
          <w:szCs w:val="24"/>
        </w:rPr>
      </w:pPr>
    </w:p>
    <w:p w14:paraId="32A7BF0C" w14:textId="46F2CE0C" w:rsidR="00B2156C" w:rsidRPr="00815B3E" w:rsidRDefault="00B2156C" w:rsidP="00B2156C">
      <w:pPr>
        <w:rPr>
          <w:rFonts w:eastAsia="Calibri" w:cs="Times New Roman"/>
          <w:bCs/>
          <w:color w:val="000000" w:themeColor="text1"/>
          <w:szCs w:val="24"/>
        </w:rPr>
      </w:pPr>
      <w:r w:rsidRPr="00815B3E">
        <w:rPr>
          <w:rFonts w:eastAsia="Calibri" w:cs="Times New Roman"/>
          <w:bCs/>
          <w:color w:val="000000" w:themeColor="text1"/>
          <w:szCs w:val="24"/>
        </w:rPr>
        <w:t>Ved overdragelse med skattemæssig succession behandles aktiverne</w:t>
      </w:r>
      <w:r w:rsidR="006A5105">
        <w:rPr>
          <w:rFonts w:eastAsia="Calibri" w:cs="Times New Roman"/>
          <w:bCs/>
          <w:color w:val="000000" w:themeColor="text1"/>
          <w:szCs w:val="24"/>
        </w:rPr>
        <w:t>,</w:t>
      </w:r>
      <w:r w:rsidRPr="00815B3E">
        <w:rPr>
          <w:rFonts w:eastAsia="Calibri" w:cs="Times New Roman"/>
          <w:bCs/>
          <w:color w:val="000000" w:themeColor="text1"/>
          <w:szCs w:val="24"/>
        </w:rPr>
        <w:t xml:space="preserve"> som om de var anskaffet af det modtagende selskab på de tidspunkter, hvor de er erhvervet af det indskydende selskab, og for de anskaffelsessummer, hvortil de er erhvervet af det indskydende selskab. Aktiver og passiver, der er erhvervet af det indskydende selskab som led i spekulationshensigt eller næring, behandles endvidere ved opgørelsen af det modtagende selskabs skattepligtige indkomst, som om de var erhvervet af dette selskab i spekulationshensigt eller som led i næring.   </w:t>
      </w:r>
    </w:p>
    <w:p w14:paraId="685902FA" w14:textId="77777777" w:rsidR="00B2156C" w:rsidRPr="00815B3E" w:rsidRDefault="00B2156C" w:rsidP="00B2156C">
      <w:pPr>
        <w:rPr>
          <w:rFonts w:eastAsia="Calibri" w:cs="Times New Roman"/>
          <w:bCs/>
          <w:color w:val="000000" w:themeColor="text1"/>
          <w:szCs w:val="24"/>
        </w:rPr>
      </w:pPr>
    </w:p>
    <w:p w14:paraId="39D425EF" w14:textId="77777777" w:rsidR="00B2156C" w:rsidRPr="00815B3E" w:rsidRDefault="00B2156C" w:rsidP="00B2156C">
      <w:pPr>
        <w:rPr>
          <w:rFonts w:eastAsia="Calibri" w:cs="Times New Roman"/>
          <w:bCs/>
          <w:color w:val="000000" w:themeColor="text1"/>
          <w:szCs w:val="24"/>
        </w:rPr>
      </w:pPr>
      <w:r w:rsidRPr="00815B3E">
        <w:rPr>
          <w:rFonts w:eastAsia="Calibri" w:cs="Times New Roman"/>
          <w:bCs/>
          <w:color w:val="000000" w:themeColor="text1"/>
          <w:szCs w:val="24"/>
        </w:rPr>
        <w:lastRenderedPageBreak/>
        <w:t>Den skattefri succession omfatter således anskaffelsestidspunkter, anskaffelsessummer og anskaffelseshensigt. Derimod omfatter successionen efter de gældende regler som udgangspunkt ikke den metode, der anvendes ved opgørelsen af gevinster og tab på aktiver, dvs. om opgørelsen skal ske efter realisationsprincippet eller lagerprincippet.</w:t>
      </w:r>
    </w:p>
    <w:p w14:paraId="1AC017FF" w14:textId="77777777" w:rsidR="00B2156C" w:rsidRPr="00815B3E" w:rsidRDefault="00B2156C" w:rsidP="00B2156C">
      <w:pPr>
        <w:rPr>
          <w:rFonts w:eastAsia="Calibri" w:cs="Times New Roman"/>
          <w:bCs/>
          <w:color w:val="000000" w:themeColor="text1"/>
          <w:szCs w:val="24"/>
        </w:rPr>
      </w:pPr>
    </w:p>
    <w:p w14:paraId="566540C4" w14:textId="4A842AFB" w:rsidR="00B2156C" w:rsidRPr="00815B3E" w:rsidRDefault="00B2156C" w:rsidP="00B2156C">
      <w:pPr>
        <w:rPr>
          <w:rFonts w:eastAsia="Calibri" w:cs="Times New Roman"/>
          <w:bCs/>
          <w:color w:val="000000" w:themeColor="text1"/>
          <w:szCs w:val="24"/>
        </w:rPr>
      </w:pPr>
      <w:r w:rsidRPr="00815B3E">
        <w:rPr>
          <w:rFonts w:eastAsia="Calibri" w:cs="Times New Roman"/>
          <w:bCs/>
          <w:color w:val="000000" w:themeColor="text1"/>
          <w:szCs w:val="24"/>
        </w:rPr>
        <w:t xml:space="preserve">For så vidt angår værdipapirer indeholder fusionsskattelovens § 8, stk. 3, dog en bestemmelse om, at hvis det indskydende selskab ved opgørelsen af den skattepligtige indkomst har medregnet </w:t>
      </w:r>
      <w:proofErr w:type="spellStart"/>
      <w:r w:rsidRPr="00815B3E">
        <w:rPr>
          <w:rFonts w:eastAsia="Calibri" w:cs="Times New Roman"/>
          <w:bCs/>
          <w:color w:val="000000" w:themeColor="text1"/>
          <w:szCs w:val="24"/>
        </w:rPr>
        <w:t>urealiseret</w:t>
      </w:r>
      <w:proofErr w:type="spellEnd"/>
      <w:r w:rsidRPr="00815B3E">
        <w:rPr>
          <w:rFonts w:eastAsia="Calibri" w:cs="Times New Roman"/>
          <w:bCs/>
          <w:color w:val="000000" w:themeColor="text1"/>
          <w:szCs w:val="24"/>
        </w:rPr>
        <w:t xml:space="preserve"> fortjeneste og tab på værdipapirer, behandles værdipapirerne ved opgørelsen af det modtagende selskabs skattepligtige indkomst, som om fortjeneste og tab var medregnet ved indkomstopgørelsen hos det modtagende selskab. Bestemmelsen indebærer, at hvis det indskydende selskab har anvendt lagerprincippet ved opgørelse af gevinst og tab på værdipapirer, så indtræder det modtagende selskab ligeledes </w:t>
      </w:r>
      <w:r w:rsidR="00FA5729">
        <w:rPr>
          <w:rFonts w:eastAsia="Calibri" w:cs="Times New Roman"/>
          <w:bCs/>
          <w:color w:val="000000" w:themeColor="text1"/>
          <w:szCs w:val="24"/>
        </w:rPr>
        <w:t xml:space="preserve">i </w:t>
      </w:r>
      <w:r w:rsidRPr="00815B3E">
        <w:rPr>
          <w:rFonts w:eastAsia="Calibri" w:cs="Times New Roman"/>
          <w:bCs/>
          <w:color w:val="000000" w:themeColor="text1"/>
          <w:szCs w:val="24"/>
        </w:rPr>
        <w:t>opgørelsen efter lagerprincippet for de pågældende værdipapirer.</w:t>
      </w:r>
    </w:p>
    <w:p w14:paraId="057282B6" w14:textId="77777777" w:rsidR="00B2156C" w:rsidRPr="00815B3E" w:rsidRDefault="00B2156C" w:rsidP="00B2156C">
      <w:pPr>
        <w:rPr>
          <w:rFonts w:eastAsia="Calibri" w:cs="Times New Roman"/>
          <w:bCs/>
          <w:color w:val="000000" w:themeColor="text1"/>
          <w:szCs w:val="24"/>
        </w:rPr>
      </w:pPr>
    </w:p>
    <w:p w14:paraId="150D3BFD" w14:textId="1D3E98F4" w:rsidR="00B2156C" w:rsidRPr="00815B3E" w:rsidRDefault="00B2156C" w:rsidP="00B2156C">
      <w:pPr>
        <w:rPr>
          <w:i/>
          <w:iCs/>
          <w:color w:val="000000" w:themeColor="text1"/>
        </w:rPr>
      </w:pPr>
      <w:r w:rsidRPr="00815B3E">
        <w:rPr>
          <w:rFonts w:eastAsia="Calibri" w:cs="Times New Roman"/>
          <w:bCs/>
          <w:color w:val="000000" w:themeColor="text1"/>
          <w:szCs w:val="24"/>
        </w:rPr>
        <w:t xml:space="preserve">Det foreslås at indsætte en bestemmelse om lagerbeskattede ejendomme i </w:t>
      </w:r>
      <w:r w:rsidRPr="00255CB9">
        <w:rPr>
          <w:rFonts w:eastAsia="Calibri" w:cs="Times New Roman"/>
          <w:bCs/>
          <w:color w:val="000000" w:themeColor="text1"/>
          <w:szCs w:val="24"/>
        </w:rPr>
        <w:t>fusionsskattelovens</w:t>
      </w:r>
      <w:r w:rsidRPr="00815B3E">
        <w:rPr>
          <w:rFonts w:eastAsia="Calibri" w:cs="Times New Roman"/>
          <w:bCs/>
          <w:i/>
          <w:iCs/>
          <w:color w:val="000000" w:themeColor="text1"/>
          <w:szCs w:val="24"/>
        </w:rPr>
        <w:t xml:space="preserve"> § 8, stk. </w:t>
      </w:r>
      <w:r w:rsidR="00FA4CF2">
        <w:rPr>
          <w:rFonts w:eastAsia="Calibri" w:cs="Times New Roman"/>
          <w:bCs/>
          <w:i/>
          <w:iCs/>
          <w:color w:val="000000" w:themeColor="text1"/>
          <w:szCs w:val="24"/>
        </w:rPr>
        <w:t>3</w:t>
      </w:r>
      <w:r w:rsidRPr="00815B3E">
        <w:rPr>
          <w:rFonts w:eastAsia="Calibri" w:cs="Times New Roman"/>
          <w:bCs/>
          <w:color w:val="000000" w:themeColor="text1"/>
          <w:szCs w:val="24"/>
        </w:rPr>
        <w:t xml:space="preserve">, </w:t>
      </w:r>
      <w:r w:rsidR="00FA4CF2">
        <w:rPr>
          <w:rFonts w:eastAsia="Calibri" w:cs="Times New Roman"/>
          <w:bCs/>
          <w:color w:val="000000" w:themeColor="text1"/>
          <w:szCs w:val="24"/>
        </w:rPr>
        <w:t>som nyt 2.</w:t>
      </w:r>
      <w:r w:rsidR="00255CB9">
        <w:rPr>
          <w:rFonts w:eastAsia="Calibri" w:cs="Times New Roman"/>
          <w:bCs/>
          <w:color w:val="000000" w:themeColor="text1"/>
          <w:szCs w:val="24"/>
        </w:rPr>
        <w:t xml:space="preserve"> og 3.</w:t>
      </w:r>
      <w:r w:rsidR="00FA4CF2">
        <w:rPr>
          <w:rFonts w:eastAsia="Calibri" w:cs="Times New Roman"/>
          <w:bCs/>
          <w:color w:val="000000" w:themeColor="text1"/>
          <w:szCs w:val="24"/>
        </w:rPr>
        <w:t xml:space="preserve"> punktum, </w:t>
      </w:r>
      <w:r w:rsidRPr="00815B3E">
        <w:rPr>
          <w:rFonts w:eastAsia="Calibri" w:cs="Times New Roman"/>
          <w:bCs/>
          <w:color w:val="000000" w:themeColor="text1"/>
          <w:szCs w:val="24"/>
        </w:rPr>
        <w:t>hvorefter gevinst og tab på en fast ejendom, der overdrages ved en skattefri fusion, ved opgørelsen af det modtagende selskabs skattepligtige indkomst skal medregnes efter lagerprincippet, hvis det indskydende selskab har medregnet gevinst og tab på ejendommen ved opgørelsen af den skattepligtige indkomst efter lagerprincippet. Det foreslås endvidere, at d</w:t>
      </w:r>
      <w:r w:rsidRPr="00815B3E">
        <w:rPr>
          <w:color w:val="000000" w:themeColor="text1"/>
        </w:rPr>
        <w:t>et modtagende selskab indtræder i en positiv, men ikke en negativ realisationssaldo, jf.</w:t>
      </w:r>
      <w:r w:rsidR="00FA5729">
        <w:rPr>
          <w:color w:val="000000" w:themeColor="text1"/>
        </w:rPr>
        <w:t xml:space="preserve"> den foreslåede bestemmelse i</w:t>
      </w:r>
      <w:r w:rsidRPr="00815B3E">
        <w:rPr>
          <w:color w:val="000000" w:themeColor="text1"/>
        </w:rPr>
        <w:t xml:space="preserve"> ejendomsavancebeskatningslovens § 14 D.</w:t>
      </w:r>
      <w:r w:rsidRPr="00815B3E">
        <w:rPr>
          <w:i/>
          <w:iCs/>
          <w:color w:val="000000" w:themeColor="text1"/>
        </w:rPr>
        <w:t xml:space="preserve"> </w:t>
      </w:r>
    </w:p>
    <w:p w14:paraId="37C31168" w14:textId="77777777" w:rsidR="00B2156C" w:rsidRPr="00815B3E" w:rsidRDefault="00B2156C" w:rsidP="00B2156C">
      <w:pPr>
        <w:rPr>
          <w:rFonts w:eastAsia="Calibri" w:cs="Times New Roman"/>
          <w:bCs/>
          <w:color w:val="000000" w:themeColor="text1"/>
          <w:szCs w:val="24"/>
        </w:rPr>
      </w:pPr>
    </w:p>
    <w:p w14:paraId="517F9AF9" w14:textId="70B487A8" w:rsidR="00B2156C" w:rsidRPr="00815B3E" w:rsidRDefault="00B2156C" w:rsidP="00B2156C">
      <w:pPr>
        <w:rPr>
          <w:rFonts w:eastAsia="Calibri" w:cs="Times New Roman"/>
          <w:bCs/>
          <w:color w:val="000000" w:themeColor="text1"/>
          <w:szCs w:val="24"/>
        </w:rPr>
      </w:pPr>
      <w:r w:rsidRPr="00815B3E">
        <w:rPr>
          <w:rFonts w:eastAsia="Calibri" w:cs="Times New Roman"/>
          <w:bCs/>
          <w:color w:val="000000" w:themeColor="text1"/>
          <w:szCs w:val="24"/>
        </w:rPr>
        <w:t xml:space="preserve">Den foreslåede bestemmelse </w:t>
      </w:r>
      <w:r w:rsidR="00FA5729">
        <w:rPr>
          <w:rFonts w:eastAsia="Calibri" w:cs="Times New Roman"/>
          <w:bCs/>
          <w:color w:val="000000" w:themeColor="text1"/>
          <w:szCs w:val="24"/>
        </w:rPr>
        <w:t>vedrørende</w:t>
      </w:r>
      <w:r w:rsidRPr="00815B3E">
        <w:rPr>
          <w:rFonts w:eastAsia="Calibri" w:cs="Times New Roman"/>
          <w:bCs/>
          <w:color w:val="000000" w:themeColor="text1"/>
          <w:szCs w:val="24"/>
        </w:rPr>
        <w:t xml:space="preserve"> lagerbeskattede ejendomme svarer til den gældende bestemmelse om lagerbeskattede værdipapirer i fusionsskattelovens § 8, stk. 3, og vil sikre, at ejendomme kan overgå skattefrit for det indskydende selskab i forbindelse med en skattefri omstrukturering samtidig med, at det modtagende selskab</w:t>
      </w:r>
      <w:r w:rsidR="00FA5729">
        <w:rPr>
          <w:rFonts w:eastAsia="Calibri" w:cs="Times New Roman"/>
          <w:bCs/>
          <w:color w:val="000000" w:themeColor="text1"/>
          <w:szCs w:val="24"/>
        </w:rPr>
        <w:t xml:space="preserve"> til gengæld</w:t>
      </w:r>
      <w:r w:rsidRPr="00815B3E">
        <w:rPr>
          <w:rFonts w:eastAsia="Calibri" w:cs="Times New Roman"/>
          <w:bCs/>
          <w:color w:val="000000" w:themeColor="text1"/>
          <w:szCs w:val="24"/>
        </w:rPr>
        <w:t xml:space="preserve"> indtræder i den opgørelsesmetode, som har været gældende for det indskydende selskab.</w:t>
      </w:r>
    </w:p>
    <w:p w14:paraId="27691448" w14:textId="77777777" w:rsidR="00B2156C" w:rsidRPr="00815B3E" w:rsidRDefault="00B2156C" w:rsidP="00B2156C">
      <w:pPr>
        <w:rPr>
          <w:rFonts w:eastAsia="Calibri" w:cs="Times New Roman"/>
          <w:bCs/>
          <w:color w:val="000000" w:themeColor="text1"/>
          <w:szCs w:val="24"/>
        </w:rPr>
      </w:pPr>
    </w:p>
    <w:p w14:paraId="053BCF1F" w14:textId="057E8569" w:rsidR="00B2156C" w:rsidRPr="00815B3E" w:rsidRDefault="00B2156C" w:rsidP="00B2156C">
      <w:pPr>
        <w:rPr>
          <w:rFonts w:eastAsia="Calibri" w:cs="Times New Roman"/>
          <w:bCs/>
          <w:color w:val="000000" w:themeColor="text1"/>
          <w:szCs w:val="24"/>
        </w:rPr>
      </w:pPr>
      <w:r w:rsidRPr="00815B3E">
        <w:rPr>
          <w:rFonts w:eastAsia="Calibri" w:cs="Times New Roman"/>
          <w:bCs/>
          <w:color w:val="000000" w:themeColor="text1"/>
          <w:szCs w:val="24"/>
        </w:rPr>
        <w:t>De</w:t>
      </w:r>
      <w:r w:rsidR="00FA5729">
        <w:rPr>
          <w:rFonts w:eastAsia="Calibri" w:cs="Times New Roman"/>
          <w:bCs/>
          <w:color w:val="000000" w:themeColor="text1"/>
          <w:szCs w:val="24"/>
        </w:rPr>
        <w:t>t</w:t>
      </w:r>
      <w:r w:rsidRPr="00815B3E">
        <w:rPr>
          <w:rFonts w:eastAsia="Calibri" w:cs="Times New Roman"/>
          <w:bCs/>
          <w:color w:val="000000" w:themeColor="text1"/>
          <w:szCs w:val="24"/>
        </w:rPr>
        <w:t xml:space="preserve"> foreslåede § 8, stk. </w:t>
      </w:r>
      <w:r w:rsidR="00FA4CF2">
        <w:rPr>
          <w:rFonts w:eastAsia="Calibri" w:cs="Times New Roman"/>
          <w:bCs/>
          <w:color w:val="000000" w:themeColor="text1"/>
          <w:szCs w:val="24"/>
        </w:rPr>
        <w:t>3</w:t>
      </w:r>
      <w:r w:rsidRPr="00815B3E">
        <w:rPr>
          <w:rFonts w:eastAsia="Calibri" w:cs="Times New Roman"/>
          <w:bCs/>
          <w:color w:val="000000" w:themeColor="text1"/>
          <w:szCs w:val="24"/>
        </w:rPr>
        <w:t>,</w:t>
      </w:r>
      <w:r w:rsidR="00FA4CF2">
        <w:rPr>
          <w:rFonts w:eastAsia="Calibri" w:cs="Times New Roman"/>
          <w:bCs/>
          <w:color w:val="000000" w:themeColor="text1"/>
          <w:szCs w:val="24"/>
        </w:rPr>
        <w:t xml:space="preserve"> 2. pkt.,</w:t>
      </w:r>
      <w:r w:rsidRPr="00815B3E">
        <w:rPr>
          <w:rFonts w:eastAsia="Calibri" w:cs="Times New Roman"/>
          <w:bCs/>
          <w:color w:val="000000" w:themeColor="text1"/>
          <w:szCs w:val="24"/>
        </w:rPr>
        <w:t xml:space="preserve"> i fusionsskatteloven vil sammenholdt med den gældende § 8, stk. 1, indebære, at ved skattefri omstruktureringer efter fusionsskatteloven i form af fusion, spaltning eller tilførsel af aktiver, vil det modtagende selskab indtræde i den opgørelsesmetode for gevinster og tab på fast ejendom, som det indskydende selskab har anvendt eller efter reg</w:t>
      </w:r>
      <w:r w:rsidRPr="00815B3E">
        <w:rPr>
          <w:rFonts w:eastAsia="Calibri" w:cs="Times New Roman"/>
          <w:bCs/>
          <w:color w:val="000000" w:themeColor="text1"/>
          <w:szCs w:val="24"/>
        </w:rPr>
        <w:lastRenderedPageBreak/>
        <w:t xml:space="preserve">lerne skulle have anvendt umiddelbart forud for fusionen. Hvis det indskydende selskab har anvendt lagerprincippet, skal lagerprincippet anvendes af det modtagende selskab. </w:t>
      </w:r>
    </w:p>
    <w:p w14:paraId="62859E3E" w14:textId="77777777" w:rsidR="00B2156C" w:rsidRPr="00815B3E" w:rsidRDefault="00B2156C" w:rsidP="00B2156C">
      <w:pPr>
        <w:rPr>
          <w:rFonts w:eastAsia="Calibri" w:cs="Times New Roman"/>
          <w:bCs/>
          <w:color w:val="000000" w:themeColor="text1"/>
          <w:szCs w:val="24"/>
        </w:rPr>
      </w:pPr>
    </w:p>
    <w:p w14:paraId="3B14A364" w14:textId="1E8184C6" w:rsidR="00B2156C" w:rsidRPr="00815B3E" w:rsidRDefault="00B2156C" w:rsidP="00B2156C">
      <w:pPr>
        <w:rPr>
          <w:rFonts w:eastAsia="Calibri" w:cs="Times New Roman"/>
          <w:bCs/>
          <w:color w:val="000000" w:themeColor="text1"/>
          <w:szCs w:val="24"/>
        </w:rPr>
      </w:pPr>
      <w:r w:rsidRPr="00815B3E">
        <w:rPr>
          <w:rFonts w:eastAsia="Calibri" w:cs="Times New Roman"/>
          <w:bCs/>
          <w:color w:val="000000" w:themeColor="text1"/>
          <w:szCs w:val="24"/>
        </w:rPr>
        <w:t xml:space="preserve">Det modtagende selskab vil efter forslaget ligeledes indtræde i det indskydende selskabs positive realisationssaldo efter den foreslåede bestemmelse i ejendomsavancebeskatningslovens § 14 D. Realisationssaldoen er udtryk for den </w:t>
      </w:r>
      <w:proofErr w:type="spellStart"/>
      <w:r w:rsidRPr="00815B3E">
        <w:rPr>
          <w:rFonts w:eastAsia="Calibri" w:cs="Times New Roman"/>
          <w:bCs/>
          <w:color w:val="000000" w:themeColor="text1"/>
          <w:szCs w:val="24"/>
        </w:rPr>
        <w:t>urealiserede</w:t>
      </w:r>
      <w:proofErr w:type="spellEnd"/>
      <w:r w:rsidRPr="00815B3E">
        <w:rPr>
          <w:rFonts w:eastAsia="Calibri" w:cs="Times New Roman"/>
          <w:bCs/>
          <w:color w:val="000000" w:themeColor="text1"/>
          <w:szCs w:val="24"/>
        </w:rPr>
        <w:t xml:space="preserve"> gevinst (positiv saldo) eller det </w:t>
      </w:r>
      <w:proofErr w:type="spellStart"/>
      <w:r w:rsidRPr="00815B3E">
        <w:rPr>
          <w:rFonts w:eastAsia="Calibri" w:cs="Times New Roman"/>
          <w:bCs/>
          <w:color w:val="000000" w:themeColor="text1"/>
          <w:szCs w:val="24"/>
        </w:rPr>
        <w:t>urealiserede</w:t>
      </w:r>
      <w:proofErr w:type="spellEnd"/>
      <w:r w:rsidRPr="00815B3E">
        <w:rPr>
          <w:rFonts w:eastAsia="Calibri" w:cs="Times New Roman"/>
          <w:bCs/>
          <w:color w:val="000000" w:themeColor="text1"/>
          <w:szCs w:val="24"/>
        </w:rPr>
        <w:t xml:space="preserve"> tab (negativ saldo), der måtte hvile på ejendommen i forbindelse med at ejendommen hos det indskydende selskab er overgået fra realisationsbeskatning til lagerbeskatning. </w:t>
      </w:r>
    </w:p>
    <w:p w14:paraId="21CCF844" w14:textId="77777777" w:rsidR="00B2156C" w:rsidRPr="00815B3E" w:rsidRDefault="00B2156C" w:rsidP="00B2156C">
      <w:pPr>
        <w:rPr>
          <w:rFonts w:eastAsia="Calibri" w:cs="Times New Roman"/>
          <w:bCs/>
          <w:color w:val="000000" w:themeColor="text1"/>
          <w:szCs w:val="24"/>
        </w:rPr>
      </w:pPr>
    </w:p>
    <w:p w14:paraId="4F5D0060" w14:textId="69CF6490" w:rsidR="00B2156C" w:rsidRPr="00815B3E" w:rsidRDefault="00B2156C" w:rsidP="00B2156C">
      <w:pPr>
        <w:rPr>
          <w:rFonts w:eastAsia="Calibri" w:cs="Times New Roman"/>
          <w:bCs/>
          <w:color w:val="000000" w:themeColor="text1"/>
          <w:szCs w:val="24"/>
        </w:rPr>
      </w:pPr>
      <w:r w:rsidRPr="00815B3E">
        <w:rPr>
          <w:rFonts w:eastAsia="Calibri" w:cs="Times New Roman"/>
          <w:bCs/>
          <w:color w:val="000000" w:themeColor="text1"/>
          <w:szCs w:val="24"/>
        </w:rPr>
        <w:t xml:space="preserve">Efter forslaget vil det alene være en positiv realisationssaldo, der vil kunne overtages af det modtagende selskab som et led i fusionen. Derimod vil en negativ saldo efter forslaget ikke kunne overtages. En negativ saldo vil være udtryk for, at der ville </w:t>
      </w:r>
      <w:r w:rsidR="00FA5729">
        <w:rPr>
          <w:rFonts w:eastAsia="Calibri" w:cs="Times New Roman"/>
          <w:bCs/>
          <w:color w:val="000000" w:themeColor="text1"/>
          <w:szCs w:val="24"/>
        </w:rPr>
        <w:t xml:space="preserve">være </w:t>
      </w:r>
      <w:r w:rsidRPr="00815B3E">
        <w:rPr>
          <w:rFonts w:eastAsia="Calibri" w:cs="Times New Roman"/>
          <w:bCs/>
          <w:color w:val="000000" w:themeColor="text1"/>
          <w:szCs w:val="24"/>
        </w:rPr>
        <w:t>konstatere</w:t>
      </w:r>
      <w:r w:rsidR="00FA5729">
        <w:rPr>
          <w:rFonts w:eastAsia="Calibri" w:cs="Times New Roman"/>
          <w:bCs/>
          <w:color w:val="000000" w:themeColor="text1"/>
          <w:szCs w:val="24"/>
        </w:rPr>
        <w:t>t</w:t>
      </w:r>
      <w:r w:rsidRPr="00815B3E">
        <w:rPr>
          <w:rFonts w:eastAsia="Calibri" w:cs="Times New Roman"/>
          <w:bCs/>
          <w:color w:val="000000" w:themeColor="text1"/>
          <w:szCs w:val="24"/>
        </w:rPr>
        <w:t xml:space="preserve"> et tab ved afståelse af ejendommen på tidspunktet for fusionen. Det foreslås således, at et sådant tab ikke skal kunne udnyttes efter en fusion. Det harmonerer med de generelle regler i fusionsskattelovens § 8, stk. 6-8, hvorefter skattemæssige underskud og tab ikke kan overføres til fradrag efter en fusion. </w:t>
      </w:r>
    </w:p>
    <w:p w14:paraId="3DE43B24" w14:textId="77777777" w:rsidR="00B2156C" w:rsidRPr="00815B3E" w:rsidRDefault="00B2156C" w:rsidP="00B2156C">
      <w:pPr>
        <w:rPr>
          <w:rFonts w:eastAsia="Calibri" w:cs="Times New Roman"/>
          <w:bCs/>
          <w:color w:val="000000" w:themeColor="text1"/>
          <w:szCs w:val="24"/>
        </w:rPr>
      </w:pPr>
    </w:p>
    <w:p w14:paraId="77BDACDD" w14:textId="61D0CC88" w:rsidR="00B2156C" w:rsidRPr="00815B3E" w:rsidRDefault="00B2156C" w:rsidP="00B2156C">
      <w:pPr>
        <w:rPr>
          <w:rFonts w:eastAsia="Calibri" w:cs="Times New Roman"/>
          <w:bCs/>
          <w:color w:val="000000" w:themeColor="text1"/>
          <w:szCs w:val="24"/>
        </w:rPr>
      </w:pPr>
      <w:r w:rsidRPr="00815B3E">
        <w:rPr>
          <w:rFonts w:eastAsia="Calibri" w:cs="Times New Roman"/>
          <w:bCs/>
          <w:color w:val="000000" w:themeColor="text1"/>
          <w:szCs w:val="24"/>
        </w:rPr>
        <w:t xml:space="preserve">Hvis det indskydende selskab har anvendt realisationsprincippet for en ejendom, skal det modtagende selskab også anvende realisationsprincippet, jf. fusionsskattelovens § 8, stk. 1. Det vil dog efter forslaget afhænge af de nærmere forhold for det modtagende selskab, om en ejendom, der har været realisationsbeskattet hos det indskydende selskab, efter fusionen skal overgå til lagerbeskatning som følge af, at det modtagende selskab opfylder betingelserne for lagerbeskatning, jf. den foreslåede bestemmelse i ejendomsavancebeskatningslovens § 14 B, stk. 3, der foreslås indsat med lovforslagets § </w:t>
      </w:r>
      <w:r w:rsidR="00676E9F">
        <w:rPr>
          <w:rFonts w:eastAsia="Calibri" w:cs="Times New Roman"/>
          <w:bCs/>
          <w:color w:val="000000" w:themeColor="text1"/>
          <w:szCs w:val="24"/>
        </w:rPr>
        <w:t>1</w:t>
      </w:r>
      <w:r w:rsidRPr="00815B3E">
        <w:rPr>
          <w:rFonts w:eastAsia="Calibri" w:cs="Times New Roman"/>
          <w:bCs/>
          <w:color w:val="000000" w:themeColor="text1"/>
          <w:szCs w:val="24"/>
        </w:rPr>
        <w:t xml:space="preserve">, nr. 5.   </w:t>
      </w:r>
    </w:p>
    <w:p w14:paraId="6B61B431" w14:textId="6B95DC64" w:rsidR="007E42A5" w:rsidRPr="00815B3E" w:rsidRDefault="007E42A5" w:rsidP="007E42A5">
      <w:pPr>
        <w:spacing w:after="240"/>
        <w:rPr>
          <w:rFonts w:cs="Times New Roman"/>
          <w:color w:val="000000" w:themeColor="text1"/>
          <w:szCs w:val="24"/>
        </w:rPr>
      </w:pPr>
    </w:p>
    <w:p w14:paraId="54B049CD" w14:textId="076D081B" w:rsidR="00AD476B" w:rsidRDefault="00AD476B" w:rsidP="00AD476B">
      <w:pPr>
        <w:rPr>
          <w:i/>
          <w:iCs/>
          <w:color w:val="000000" w:themeColor="text1"/>
        </w:rPr>
      </w:pPr>
    </w:p>
    <w:p w14:paraId="78267464" w14:textId="6E4DE326" w:rsidR="00FA4CF2" w:rsidRPr="00815B3E" w:rsidRDefault="00FA4CF2" w:rsidP="00FA4CF2">
      <w:pPr>
        <w:spacing w:after="240"/>
        <w:jc w:val="center"/>
        <w:rPr>
          <w:rFonts w:cs="Times New Roman"/>
          <w:i/>
          <w:color w:val="000000" w:themeColor="text1"/>
          <w:szCs w:val="24"/>
        </w:rPr>
      </w:pPr>
      <w:r w:rsidRPr="00815B3E">
        <w:rPr>
          <w:rFonts w:cs="Times New Roman"/>
          <w:i/>
          <w:color w:val="000000" w:themeColor="text1"/>
          <w:szCs w:val="24"/>
        </w:rPr>
        <w:t xml:space="preserve">Til § </w:t>
      </w:r>
      <w:r>
        <w:rPr>
          <w:rFonts w:cs="Times New Roman"/>
          <w:i/>
          <w:color w:val="000000" w:themeColor="text1"/>
          <w:szCs w:val="24"/>
        </w:rPr>
        <w:t>5</w:t>
      </w:r>
    </w:p>
    <w:p w14:paraId="764C1EBB" w14:textId="07264712" w:rsidR="00FA4CF2" w:rsidRDefault="00FA4CF2" w:rsidP="00FA4CF2">
      <w:pPr>
        <w:spacing w:after="240"/>
        <w:rPr>
          <w:rFonts w:cs="Times New Roman"/>
          <w:color w:val="000000" w:themeColor="text1"/>
          <w:szCs w:val="24"/>
        </w:rPr>
      </w:pPr>
      <w:r>
        <w:rPr>
          <w:rFonts w:cs="Times New Roman"/>
          <w:color w:val="000000" w:themeColor="text1"/>
          <w:szCs w:val="24"/>
        </w:rPr>
        <w:t xml:space="preserve">Det foreslås i ligningslovens </w:t>
      </w:r>
      <w:r w:rsidRPr="00255CB9">
        <w:rPr>
          <w:rFonts w:cs="Times New Roman"/>
          <w:i/>
          <w:iCs/>
          <w:color w:val="000000" w:themeColor="text1"/>
          <w:szCs w:val="24"/>
        </w:rPr>
        <w:t>§ 17 A</w:t>
      </w:r>
      <w:r w:rsidR="00B82D21">
        <w:rPr>
          <w:rFonts w:cs="Times New Roman"/>
          <w:i/>
          <w:iCs/>
          <w:color w:val="000000" w:themeColor="text1"/>
          <w:szCs w:val="24"/>
        </w:rPr>
        <w:t>, stk. 1,</w:t>
      </w:r>
      <w:r>
        <w:rPr>
          <w:rFonts w:cs="Times New Roman"/>
          <w:color w:val="000000" w:themeColor="text1"/>
          <w:szCs w:val="24"/>
        </w:rPr>
        <w:t xml:space="preserve"> at ændre ”</w:t>
      </w:r>
      <w:r w:rsidR="00B82D21">
        <w:rPr>
          <w:rFonts w:cs="Times New Roman"/>
          <w:color w:val="000000" w:themeColor="text1"/>
          <w:szCs w:val="24"/>
        </w:rPr>
        <w:t xml:space="preserve">§ 12 i </w:t>
      </w:r>
      <w:r>
        <w:rPr>
          <w:rFonts w:cs="Times New Roman"/>
          <w:color w:val="000000" w:themeColor="text1"/>
          <w:szCs w:val="24"/>
        </w:rPr>
        <w:t>lov om beskatning af fortjeneste ved afståelse af fast ejendom” til: ”ejendomsavancebeskatningsloven</w:t>
      </w:r>
      <w:r w:rsidR="00B82D21">
        <w:rPr>
          <w:rFonts w:cs="Times New Roman"/>
          <w:color w:val="000000" w:themeColor="text1"/>
          <w:szCs w:val="24"/>
        </w:rPr>
        <w:t>s § 12</w:t>
      </w:r>
      <w:r>
        <w:rPr>
          <w:rFonts w:cs="Times New Roman"/>
          <w:color w:val="000000" w:themeColor="text1"/>
          <w:szCs w:val="24"/>
        </w:rPr>
        <w:t>”.</w:t>
      </w:r>
    </w:p>
    <w:p w14:paraId="7DEC7C60" w14:textId="5D00858C" w:rsidR="00FA4CF2" w:rsidRPr="00815B3E" w:rsidRDefault="00FA4CF2" w:rsidP="00255CB9">
      <w:pPr>
        <w:spacing w:after="240"/>
        <w:rPr>
          <w:i/>
          <w:iCs/>
          <w:color w:val="000000" w:themeColor="text1"/>
        </w:rPr>
      </w:pPr>
      <w:r>
        <w:rPr>
          <w:rFonts w:cs="Times New Roman"/>
          <w:color w:val="000000" w:themeColor="text1"/>
          <w:szCs w:val="24"/>
        </w:rPr>
        <w:t>Forslaget er en konsekvens af forslaget om at ændre titlen på lov om beskatning af fortjeneste ved afståelse af fast ejendom</w:t>
      </w:r>
      <w:r w:rsidR="00293594">
        <w:rPr>
          <w:rFonts w:cs="Times New Roman"/>
          <w:color w:val="000000" w:themeColor="text1"/>
          <w:szCs w:val="24"/>
        </w:rPr>
        <w:t>.</w:t>
      </w:r>
    </w:p>
    <w:p w14:paraId="478FCACE" w14:textId="77777777" w:rsidR="0016196D" w:rsidRPr="00815B3E" w:rsidRDefault="0016196D" w:rsidP="00711D53">
      <w:pPr>
        <w:rPr>
          <w:color w:val="000000" w:themeColor="text1"/>
        </w:rPr>
      </w:pPr>
    </w:p>
    <w:p w14:paraId="6C16F85A" w14:textId="0E356056" w:rsidR="003D1B16" w:rsidRPr="00815B3E" w:rsidRDefault="003D1B16" w:rsidP="003D1B16">
      <w:pPr>
        <w:spacing w:after="240"/>
        <w:jc w:val="center"/>
        <w:rPr>
          <w:rFonts w:cs="Times New Roman"/>
          <w:i/>
          <w:color w:val="000000" w:themeColor="text1"/>
          <w:szCs w:val="24"/>
        </w:rPr>
      </w:pPr>
      <w:r w:rsidRPr="00815B3E">
        <w:rPr>
          <w:rFonts w:cs="Times New Roman"/>
          <w:i/>
          <w:color w:val="000000" w:themeColor="text1"/>
          <w:szCs w:val="24"/>
        </w:rPr>
        <w:t xml:space="preserve">Til § </w:t>
      </w:r>
      <w:r w:rsidR="00FA4CF2">
        <w:rPr>
          <w:rFonts w:cs="Times New Roman"/>
          <w:i/>
          <w:color w:val="000000" w:themeColor="text1"/>
          <w:szCs w:val="24"/>
        </w:rPr>
        <w:t>6</w:t>
      </w:r>
    </w:p>
    <w:p w14:paraId="48427474" w14:textId="6ED3CA46" w:rsidR="003D1B16" w:rsidRPr="00815B3E" w:rsidRDefault="003D1B16" w:rsidP="003D1B16">
      <w:pPr>
        <w:spacing w:after="240"/>
        <w:rPr>
          <w:rFonts w:cs="Times New Roman"/>
          <w:color w:val="000000" w:themeColor="text1"/>
          <w:szCs w:val="24"/>
        </w:rPr>
      </w:pPr>
    </w:p>
    <w:p w14:paraId="4BDC92BD" w14:textId="10168869" w:rsidR="003D1B16" w:rsidRPr="00815B3E" w:rsidRDefault="007C7020" w:rsidP="006A4C87">
      <w:pPr>
        <w:spacing w:after="240"/>
        <w:rPr>
          <w:rFonts w:cs="Times New Roman"/>
          <w:color w:val="000000" w:themeColor="text1"/>
          <w:szCs w:val="24"/>
        </w:rPr>
      </w:pPr>
      <w:r w:rsidRPr="00815B3E">
        <w:rPr>
          <w:rFonts w:cs="Times New Roman"/>
          <w:color w:val="000000" w:themeColor="text1"/>
          <w:szCs w:val="24"/>
        </w:rPr>
        <w:t>Efter</w:t>
      </w:r>
      <w:r w:rsidR="006A4C87" w:rsidRPr="00815B3E">
        <w:rPr>
          <w:rFonts w:cs="Times New Roman"/>
          <w:color w:val="000000" w:themeColor="text1"/>
          <w:szCs w:val="24"/>
        </w:rPr>
        <w:t xml:space="preserve"> selskabsskattelovens </w:t>
      </w:r>
      <w:r w:rsidR="006A4C87" w:rsidRPr="00255CB9">
        <w:rPr>
          <w:rFonts w:cs="Times New Roman"/>
          <w:color w:val="000000" w:themeColor="text1"/>
          <w:szCs w:val="24"/>
        </w:rPr>
        <w:t>§ 2, stk. 1, litra b,</w:t>
      </w:r>
      <w:r w:rsidR="006A4C87" w:rsidRPr="00815B3E">
        <w:rPr>
          <w:rFonts w:cs="Times New Roman"/>
          <w:color w:val="000000" w:themeColor="text1"/>
          <w:szCs w:val="24"/>
        </w:rPr>
        <w:t xml:space="preserve"> </w:t>
      </w:r>
      <w:r w:rsidRPr="00815B3E">
        <w:rPr>
          <w:rFonts w:cs="Times New Roman"/>
          <w:color w:val="000000" w:themeColor="text1"/>
          <w:szCs w:val="24"/>
        </w:rPr>
        <w:t xml:space="preserve">omfatter skattepligten efter selskabsskatteloven bl.a. </w:t>
      </w:r>
      <w:r w:rsidR="006A4C87" w:rsidRPr="00815B3E">
        <w:rPr>
          <w:rFonts w:cs="Times New Roman"/>
          <w:color w:val="000000" w:themeColor="text1"/>
          <w:szCs w:val="24"/>
        </w:rPr>
        <w:t>selskaber og foreninger m.v. som nævnt i</w:t>
      </w:r>
      <w:r w:rsidRPr="00815B3E">
        <w:rPr>
          <w:rFonts w:cs="Times New Roman"/>
          <w:color w:val="000000" w:themeColor="text1"/>
          <w:szCs w:val="24"/>
        </w:rPr>
        <w:t xml:space="preserve"> selskabsskattelovens</w:t>
      </w:r>
      <w:r w:rsidR="006A4C87" w:rsidRPr="00815B3E">
        <w:rPr>
          <w:rFonts w:cs="Times New Roman"/>
          <w:color w:val="000000" w:themeColor="text1"/>
          <w:szCs w:val="24"/>
        </w:rPr>
        <w:t xml:space="preserve"> § 1, stk. 1, der har hjemsted i udlandet, for så vidt de i egenskab af ejer, medejer, brugs- eller indtægtsnyder oppebærer indtægt af en her i landet beliggende fast ejendom. Skattepligten omfatter endvidere fortjeneste ved afståelse af fast ejendom omfattet af ejendomsavancebeskatningsloven eller afskrivningslovens § 21.</w:t>
      </w:r>
    </w:p>
    <w:p w14:paraId="302F20F3" w14:textId="4B7BD5F9" w:rsidR="006A4C87" w:rsidRPr="00815B3E" w:rsidRDefault="006A4C87" w:rsidP="006A4C87">
      <w:pPr>
        <w:spacing w:after="240"/>
        <w:rPr>
          <w:rFonts w:cs="Times New Roman"/>
          <w:color w:val="000000" w:themeColor="text1"/>
          <w:szCs w:val="24"/>
        </w:rPr>
      </w:pPr>
      <w:r w:rsidRPr="00815B3E">
        <w:rPr>
          <w:rFonts w:cs="Times New Roman"/>
          <w:color w:val="000000" w:themeColor="text1"/>
          <w:szCs w:val="24"/>
        </w:rPr>
        <w:t>Selskabsskattelovens § 2, stk. 1, litra b, fastlægger således, at udenlandske selskaber m</w:t>
      </w:r>
      <w:r w:rsidR="007C7020" w:rsidRPr="00815B3E">
        <w:rPr>
          <w:rFonts w:cs="Times New Roman"/>
          <w:color w:val="000000" w:themeColor="text1"/>
          <w:szCs w:val="24"/>
        </w:rPr>
        <w:t>.</w:t>
      </w:r>
      <w:r w:rsidRPr="00815B3E">
        <w:rPr>
          <w:rFonts w:cs="Times New Roman"/>
          <w:color w:val="000000" w:themeColor="text1"/>
          <w:szCs w:val="24"/>
        </w:rPr>
        <w:t>v. er begrænset skattepligtige til Danmark af indtægt</w:t>
      </w:r>
      <w:r w:rsidR="007C7020" w:rsidRPr="00815B3E">
        <w:rPr>
          <w:rFonts w:cs="Times New Roman"/>
          <w:color w:val="000000" w:themeColor="text1"/>
          <w:szCs w:val="24"/>
        </w:rPr>
        <w:t>er</w:t>
      </w:r>
      <w:r w:rsidRPr="00815B3E">
        <w:rPr>
          <w:rFonts w:cs="Times New Roman"/>
          <w:color w:val="000000" w:themeColor="text1"/>
          <w:szCs w:val="24"/>
        </w:rPr>
        <w:t xml:space="preserve"> fra og fortjeneste ved afståelse af fast ejendom.</w:t>
      </w:r>
    </w:p>
    <w:p w14:paraId="67D69264" w14:textId="065B9377" w:rsidR="006A4C87" w:rsidRPr="00815B3E" w:rsidRDefault="007C7020" w:rsidP="00673631">
      <w:pPr>
        <w:spacing w:after="240"/>
        <w:rPr>
          <w:rFonts w:cs="Times New Roman"/>
          <w:color w:val="000000" w:themeColor="text1"/>
          <w:szCs w:val="24"/>
        </w:rPr>
      </w:pPr>
      <w:r w:rsidRPr="00815B3E">
        <w:rPr>
          <w:rFonts w:cs="Times New Roman"/>
          <w:color w:val="000000" w:themeColor="text1"/>
          <w:szCs w:val="24"/>
        </w:rPr>
        <w:t>Det</w:t>
      </w:r>
      <w:r w:rsidR="006A4C87" w:rsidRPr="00815B3E">
        <w:rPr>
          <w:rFonts w:cs="Times New Roman"/>
          <w:color w:val="000000" w:themeColor="text1"/>
          <w:szCs w:val="24"/>
        </w:rPr>
        <w:t xml:space="preserve"> foreslås</w:t>
      </w:r>
      <w:r w:rsidR="00BD1B8C" w:rsidRPr="00815B3E">
        <w:rPr>
          <w:rFonts w:cs="Times New Roman"/>
          <w:color w:val="000000" w:themeColor="text1"/>
          <w:szCs w:val="24"/>
        </w:rPr>
        <w:t xml:space="preserve"> i selskabsskattelovens </w:t>
      </w:r>
      <w:r w:rsidR="00BD1B8C" w:rsidRPr="00255CB9">
        <w:rPr>
          <w:rFonts w:cs="Times New Roman"/>
          <w:i/>
          <w:iCs/>
          <w:color w:val="000000" w:themeColor="text1"/>
          <w:szCs w:val="24"/>
        </w:rPr>
        <w:t>§ 2, stk. 1, litra b, 2. pkt.</w:t>
      </w:r>
      <w:r w:rsidR="006A4C87" w:rsidRPr="00255CB9">
        <w:rPr>
          <w:rFonts w:cs="Times New Roman"/>
          <w:i/>
          <w:iCs/>
          <w:color w:val="000000" w:themeColor="text1"/>
          <w:szCs w:val="24"/>
        </w:rPr>
        <w:t>,</w:t>
      </w:r>
      <w:r w:rsidR="006A4C87" w:rsidRPr="00815B3E">
        <w:rPr>
          <w:rFonts w:cs="Times New Roman"/>
          <w:color w:val="000000" w:themeColor="text1"/>
          <w:szCs w:val="24"/>
        </w:rPr>
        <w:t xml:space="preserve"> at</w:t>
      </w:r>
      <w:r w:rsidR="00BD1B8C" w:rsidRPr="00815B3E">
        <w:rPr>
          <w:rFonts w:cs="Times New Roman"/>
          <w:color w:val="000000" w:themeColor="text1"/>
          <w:szCs w:val="24"/>
        </w:rPr>
        <w:t xml:space="preserve"> ændre</w:t>
      </w:r>
      <w:r w:rsidRPr="00815B3E">
        <w:rPr>
          <w:rFonts w:cs="Times New Roman"/>
          <w:color w:val="000000" w:themeColor="text1"/>
          <w:szCs w:val="24"/>
        </w:rPr>
        <w:t xml:space="preserve"> ordene</w:t>
      </w:r>
      <w:r w:rsidR="006A4C87" w:rsidRPr="00815B3E">
        <w:rPr>
          <w:rFonts w:cs="Times New Roman"/>
          <w:color w:val="000000" w:themeColor="text1"/>
          <w:szCs w:val="24"/>
        </w:rPr>
        <w:t xml:space="preserve"> </w:t>
      </w:r>
      <w:r w:rsidR="00A23C58" w:rsidRPr="00815B3E">
        <w:rPr>
          <w:rFonts w:cs="Times New Roman"/>
          <w:bCs/>
          <w:color w:val="000000" w:themeColor="text1"/>
          <w:szCs w:val="24"/>
        </w:rPr>
        <w:t>»ved afståelse af« til</w:t>
      </w:r>
      <w:r w:rsidR="00BD1B8C" w:rsidRPr="00815B3E">
        <w:rPr>
          <w:rFonts w:cs="Times New Roman"/>
          <w:bCs/>
          <w:color w:val="000000" w:themeColor="text1"/>
          <w:szCs w:val="24"/>
        </w:rPr>
        <w:t>:</w:t>
      </w:r>
      <w:r w:rsidR="00A23C58" w:rsidRPr="00815B3E">
        <w:rPr>
          <w:rFonts w:cs="Times New Roman"/>
          <w:bCs/>
          <w:color w:val="000000" w:themeColor="text1"/>
          <w:szCs w:val="24"/>
        </w:rPr>
        <w:t xml:space="preserve"> ”på”</w:t>
      </w:r>
      <w:r w:rsidR="00BD1B8C" w:rsidRPr="00815B3E">
        <w:rPr>
          <w:rFonts w:cs="Times New Roman"/>
          <w:color w:val="000000" w:themeColor="text1"/>
          <w:szCs w:val="24"/>
        </w:rPr>
        <w:t xml:space="preserve">. Det foreslås således at præcisere, at den begrænsede </w:t>
      </w:r>
      <w:r w:rsidR="00A23C58" w:rsidRPr="00815B3E">
        <w:rPr>
          <w:rFonts w:cs="Times New Roman"/>
          <w:color w:val="000000" w:themeColor="text1"/>
          <w:szCs w:val="24"/>
        </w:rPr>
        <w:t>skattepligt</w:t>
      </w:r>
      <w:r w:rsidR="00BD1B8C" w:rsidRPr="00815B3E">
        <w:rPr>
          <w:rFonts w:cs="Times New Roman"/>
          <w:color w:val="000000" w:themeColor="text1"/>
          <w:szCs w:val="24"/>
        </w:rPr>
        <w:t xml:space="preserve"> af ejendomme i Danmark</w:t>
      </w:r>
      <w:r w:rsidR="00A23C58" w:rsidRPr="00815B3E">
        <w:rPr>
          <w:rFonts w:cs="Times New Roman"/>
          <w:color w:val="000000" w:themeColor="text1"/>
          <w:szCs w:val="24"/>
        </w:rPr>
        <w:t xml:space="preserve"> ikke kun omfatter realisation</w:t>
      </w:r>
      <w:r w:rsidR="00BD1B8C" w:rsidRPr="00815B3E">
        <w:rPr>
          <w:rFonts w:cs="Times New Roman"/>
          <w:color w:val="000000" w:themeColor="text1"/>
          <w:szCs w:val="24"/>
        </w:rPr>
        <w:t xml:space="preserve"> (afståelse af)</w:t>
      </w:r>
      <w:r w:rsidR="00A23C58" w:rsidRPr="00815B3E">
        <w:rPr>
          <w:rFonts w:cs="Times New Roman"/>
          <w:color w:val="000000" w:themeColor="text1"/>
          <w:szCs w:val="24"/>
        </w:rPr>
        <w:t xml:space="preserve"> fast ejendom, men også løbende værdi</w:t>
      </w:r>
      <w:r w:rsidR="00E5421E" w:rsidRPr="00815B3E">
        <w:rPr>
          <w:rFonts w:cs="Times New Roman"/>
          <w:color w:val="000000" w:themeColor="text1"/>
          <w:szCs w:val="24"/>
        </w:rPr>
        <w:t>ændringer</w:t>
      </w:r>
      <w:r w:rsidR="00A23C58" w:rsidRPr="00815B3E">
        <w:rPr>
          <w:rFonts w:cs="Times New Roman"/>
          <w:color w:val="000000" w:themeColor="text1"/>
          <w:szCs w:val="24"/>
        </w:rPr>
        <w:t xml:space="preserve">. </w:t>
      </w:r>
    </w:p>
    <w:p w14:paraId="1A8A4640" w14:textId="4E03C9E7" w:rsidR="007C7020" w:rsidRPr="00815B3E" w:rsidRDefault="00BD1B8C" w:rsidP="007C7020">
      <w:pPr>
        <w:spacing w:after="240"/>
        <w:rPr>
          <w:rFonts w:eastAsia="Calibri" w:cs="Times New Roman"/>
          <w:bCs/>
          <w:color w:val="000000" w:themeColor="text1"/>
          <w:szCs w:val="24"/>
        </w:rPr>
      </w:pPr>
      <w:r w:rsidRPr="00815B3E">
        <w:rPr>
          <w:rFonts w:cs="Times New Roman"/>
          <w:color w:val="000000" w:themeColor="text1"/>
          <w:szCs w:val="24"/>
        </w:rPr>
        <w:t xml:space="preserve">Forslaget er en konsekvens af forslaget i lovforslagets § </w:t>
      </w:r>
      <w:r w:rsidR="00676E9F">
        <w:rPr>
          <w:rFonts w:cs="Times New Roman"/>
          <w:color w:val="000000" w:themeColor="text1"/>
          <w:szCs w:val="24"/>
        </w:rPr>
        <w:t>1</w:t>
      </w:r>
      <w:r w:rsidRPr="00815B3E">
        <w:rPr>
          <w:rFonts w:cs="Times New Roman"/>
          <w:color w:val="000000" w:themeColor="text1"/>
          <w:szCs w:val="24"/>
        </w:rPr>
        <w:t>, nr. 5</w:t>
      </w:r>
      <w:r w:rsidR="00152222">
        <w:rPr>
          <w:rFonts w:cs="Times New Roman"/>
          <w:color w:val="000000" w:themeColor="text1"/>
          <w:szCs w:val="24"/>
        </w:rPr>
        <w:t>,</w:t>
      </w:r>
      <w:r w:rsidRPr="00815B3E">
        <w:rPr>
          <w:rFonts w:cs="Times New Roman"/>
          <w:color w:val="000000" w:themeColor="text1"/>
          <w:szCs w:val="24"/>
        </w:rPr>
        <w:t xml:space="preserve"> om indførelse af </w:t>
      </w:r>
      <w:r w:rsidR="007C7020" w:rsidRPr="00815B3E">
        <w:rPr>
          <w:rFonts w:cs="Times New Roman"/>
          <w:color w:val="000000" w:themeColor="text1"/>
          <w:szCs w:val="24"/>
        </w:rPr>
        <w:t>et lagerbeskatningsprincip</w:t>
      </w:r>
      <w:r w:rsidRPr="00815B3E">
        <w:rPr>
          <w:rFonts w:cs="Times New Roman"/>
          <w:color w:val="000000" w:themeColor="text1"/>
          <w:szCs w:val="24"/>
        </w:rPr>
        <w:t xml:space="preserve"> for selskabers ejendomsavancer</w:t>
      </w:r>
      <w:r w:rsidR="007C7020" w:rsidRPr="00815B3E">
        <w:rPr>
          <w:rFonts w:eastAsia="Calibri" w:cs="Times New Roman"/>
          <w:bCs/>
          <w:color w:val="000000" w:themeColor="text1"/>
          <w:szCs w:val="24"/>
        </w:rPr>
        <w:t>.</w:t>
      </w:r>
      <w:r w:rsidRPr="00815B3E">
        <w:rPr>
          <w:rFonts w:eastAsia="Calibri" w:cs="Times New Roman"/>
          <w:bCs/>
          <w:color w:val="000000" w:themeColor="text1"/>
          <w:szCs w:val="24"/>
        </w:rPr>
        <w:t xml:space="preserve"> Efter forslaget vil udenlandske selskaber – </w:t>
      </w:r>
      <w:r w:rsidR="00BF4DFF" w:rsidRPr="00815B3E">
        <w:rPr>
          <w:rFonts w:eastAsia="Calibri" w:cs="Times New Roman"/>
          <w:bCs/>
          <w:color w:val="000000" w:themeColor="text1"/>
          <w:szCs w:val="24"/>
        </w:rPr>
        <w:t xml:space="preserve">efter samme regler som </w:t>
      </w:r>
      <w:r w:rsidRPr="00815B3E">
        <w:rPr>
          <w:rFonts w:eastAsia="Calibri" w:cs="Times New Roman"/>
          <w:bCs/>
          <w:color w:val="000000" w:themeColor="text1"/>
          <w:szCs w:val="24"/>
        </w:rPr>
        <w:t>danske selskaber – skulle lagerbeskattes af deres ejendomme under dansk beskatning, når betingelserne herfor er opfyldt i det foreslåede kapit</w:t>
      </w:r>
      <w:r w:rsidR="00FA5729">
        <w:rPr>
          <w:rFonts w:eastAsia="Calibri" w:cs="Times New Roman"/>
          <w:bCs/>
          <w:color w:val="000000" w:themeColor="text1"/>
          <w:szCs w:val="24"/>
        </w:rPr>
        <w:t>e</w:t>
      </w:r>
      <w:r w:rsidRPr="00815B3E">
        <w:rPr>
          <w:rFonts w:eastAsia="Calibri" w:cs="Times New Roman"/>
          <w:bCs/>
          <w:color w:val="000000" w:themeColor="text1"/>
          <w:szCs w:val="24"/>
        </w:rPr>
        <w:t xml:space="preserve">l 3 i ejendomsavancebeskatningsloven.   </w:t>
      </w:r>
    </w:p>
    <w:p w14:paraId="5C8CA45C" w14:textId="62C98B7A" w:rsidR="007C7020" w:rsidRDefault="007C7020" w:rsidP="00673631">
      <w:pPr>
        <w:spacing w:after="240"/>
        <w:rPr>
          <w:rFonts w:cs="Times New Roman"/>
          <w:color w:val="000000" w:themeColor="text1"/>
          <w:szCs w:val="24"/>
        </w:rPr>
      </w:pPr>
    </w:p>
    <w:p w14:paraId="68F8AE0B" w14:textId="77777777" w:rsidR="005022C0" w:rsidRPr="00815B3E" w:rsidRDefault="005022C0" w:rsidP="00673631">
      <w:pPr>
        <w:spacing w:after="240"/>
        <w:rPr>
          <w:rFonts w:cs="Times New Roman"/>
          <w:color w:val="000000" w:themeColor="text1"/>
          <w:szCs w:val="24"/>
        </w:rPr>
      </w:pPr>
    </w:p>
    <w:p w14:paraId="05E569C8" w14:textId="0265811B" w:rsidR="001B54F2" w:rsidRPr="00815B3E" w:rsidRDefault="001B54F2" w:rsidP="001B54F2">
      <w:pPr>
        <w:spacing w:after="240"/>
        <w:jc w:val="center"/>
        <w:rPr>
          <w:rFonts w:cs="Times New Roman"/>
          <w:i/>
          <w:color w:val="000000" w:themeColor="text1"/>
          <w:szCs w:val="24"/>
        </w:rPr>
      </w:pPr>
      <w:r w:rsidRPr="00815B3E">
        <w:rPr>
          <w:rFonts w:cs="Times New Roman"/>
          <w:i/>
          <w:color w:val="000000" w:themeColor="text1"/>
          <w:szCs w:val="24"/>
        </w:rPr>
        <w:t xml:space="preserve">Til § </w:t>
      </w:r>
      <w:r w:rsidR="00293594">
        <w:rPr>
          <w:rFonts w:cs="Times New Roman"/>
          <w:i/>
          <w:color w:val="000000" w:themeColor="text1"/>
          <w:szCs w:val="24"/>
        </w:rPr>
        <w:t>7</w:t>
      </w:r>
    </w:p>
    <w:p w14:paraId="22C7377D" w14:textId="42F99967" w:rsidR="00673631" w:rsidRPr="00815B3E" w:rsidRDefault="00673631" w:rsidP="00673631">
      <w:pPr>
        <w:spacing w:after="240"/>
        <w:rPr>
          <w:rFonts w:cs="Times New Roman"/>
          <w:color w:val="000000" w:themeColor="text1"/>
          <w:szCs w:val="24"/>
        </w:rPr>
      </w:pPr>
      <w:r w:rsidRPr="00815B3E">
        <w:rPr>
          <w:rFonts w:cs="Times New Roman"/>
          <w:color w:val="000000" w:themeColor="text1"/>
          <w:szCs w:val="24"/>
        </w:rPr>
        <w:t xml:space="preserve">Til nr. </w:t>
      </w:r>
      <w:r w:rsidR="00216487" w:rsidRPr="00815B3E">
        <w:rPr>
          <w:rFonts w:cs="Times New Roman"/>
          <w:color w:val="000000" w:themeColor="text1"/>
          <w:szCs w:val="24"/>
        </w:rPr>
        <w:t>1</w:t>
      </w:r>
    </w:p>
    <w:p w14:paraId="7C7ED99C" w14:textId="7F50B8DA" w:rsidR="00216487" w:rsidRPr="00815B3E" w:rsidRDefault="00216487" w:rsidP="00673631">
      <w:pPr>
        <w:spacing w:after="240"/>
        <w:rPr>
          <w:rFonts w:cs="Times New Roman"/>
          <w:color w:val="000000" w:themeColor="text1"/>
          <w:szCs w:val="24"/>
        </w:rPr>
      </w:pPr>
      <w:r w:rsidRPr="00815B3E">
        <w:rPr>
          <w:rFonts w:cs="Times New Roman"/>
          <w:color w:val="000000" w:themeColor="text1"/>
          <w:szCs w:val="24"/>
        </w:rPr>
        <w:t>Skattekontrolloven indeholder</w:t>
      </w:r>
      <w:r w:rsidR="00676F19" w:rsidRPr="00815B3E">
        <w:rPr>
          <w:rFonts w:cs="Times New Roman"/>
          <w:color w:val="000000" w:themeColor="text1"/>
          <w:szCs w:val="24"/>
        </w:rPr>
        <w:t xml:space="preserve"> </w:t>
      </w:r>
      <w:r w:rsidRPr="00815B3E">
        <w:rPr>
          <w:rFonts w:cs="Times New Roman"/>
          <w:color w:val="000000" w:themeColor="text1"/>
          <w:szCs w:val="24"/>
        </w:rPr>
        <w:t xml:space="preserve">bestemmelser om informationer, som skattepligtige skal afgive til </w:t>
      </w:r>
      <w:r w:rsidR="00665421">
        <w:rPr>
          <w:rFonts w:cs="Times New Roman"/>
          <w:color w:val="000000" w:themeColor="text1"/>
          <w:szCs w:val="24"/>
        </w:rPr>
        <w:t>S</w:t>
      </w:r>
      <w:r w:rsidRPr="00815B3E">
        <w:rPr>
          <w:rFonts w:cs="Times New Roman"/>
          <w:color w:val="000000" w:themeColor="text1"/>
          <w:szCs w:val="24"/>
        </w:rPr>
        <w:t>katteforvaltningen til brug for opgørelsen af indkomstskat (skatteansættelse) og til afgørelse af skattepligt.</w:t>
      </w:r>
    </w:p>
    <w:p w14:paraId="3C22E597" w14:textId="17841ED8" w:rsidR="00216487" w:rsidRPr="00815B3E" w:rsidRDefault="007E15A6" w:rsidP="005D1952">
      <w:pPr>
        <w:spacing w:after="240"/>
        <w:rPr>
          <w:rFonts w:eastAsia="Calibri" w:cs="Times New Roman"/>
          <w:bCs/>
          <w:color w:val="000000" w:themeColor="text1"/>
          <w:szCs w:val="24"/>
        </w:rPr>
      </w:pPr>
      <w:r w:rsidRPr="00815B3E">
        <w:rPr>
          <w:rFonts w:cs="Times New Roman"/>
          <w:color w:val="000000" w:themeColor="text1"/>
          <w:szCs w:val="24"/>
        </w:rPr>
        <w:t xml:space="preserve">Det </w:t>
      </w:r>
      <w:r w:rsidR="005D1952" w:rsidRPr="00815B3E">
        <w:rPr>
          <w:rFonts w:cs="Times New Roman"/>
          <w:color w:val="000000" w:themeColor="text1"/>
          <w:szCs w:val="24"/>
        </w:rPr>
        <w:t xml:space="preserve">foreslås at </w:t>
      </w:r>
      <w:r w:rsidRPr="00815B3E">
        <w:rPr>
          <w:rFonts w:cs="Times New Roman"/>
          <w:color w:val="000000" w:themeColor="text1"/>
          <w:szCs w:val="24"/>
        </w:rPr>
        <w:t>indsætte</w:t>
      </w:r>
      <w:r w:rsidR="005D1952" w:rsidRPr="00815B3E">
        <w:rPr>
          <w:rFonts w:cs="Times New Roman"/>
          <w:color w:val="000000" w:themeColor="text1"/>
          <w:szCs w:val="24"/>
        </w:rPr>
        <w:t xml:space="preserve"> en ny </w:t>
      </w:r>
      <w:r w:rsidR="005D1952" w:rsidRPr="00815B3E">
        <w:rPr>
          <w:rFonts w:cs="Times New Roman"/>
          <w:i/>
          <w:iCs/>
          <w:color w:val="000000" w:themeColor="text1"/>
          <w:szCs w:val="24"/>
        </w:rPr>
        <w:t>§ 36 A</w:t>
      </w:r>
      <w:r w:rsidR="005D1952" w:rsidRPr="00815B3E">
        <w:rPr>
          <w:rFonts w:cs="Times New Roman"/>
          <w:color w:val="000000" w:themeColor="text1"/>
          <w:szCs w:val="24"/>
        </w:rPr>
        <w:t xml:space="preserve"> </w:t>
      </w:r>
      <w:r w:rsidRPr="00815B3E">
        <w:rPr>
          <w:rFonts w:cs="Times New Roman"/>
          <w:color w:val="000000" w:themeColor="text1"/>
          <w:szCs w:val="24"/>
        </w:rPr>
        <w:t>i</w:t>
      </w:r>
      <w:r w:rsidR="005D1952" w:rsidRPr="00815B3E">
        <w:rPr>
          <w:rFonts w:cs="Times New Roman"/>
          <w:color w:val="000000" w:themeColor="text1"/>
          <w:szCs w:val="24"/>
        </w:rPr>
        <w:t xml:space="preserve"> skattekontrolloven</w:t>
      </w:r>
      <w:r w:rsidRPr="00815B3E">
        <w:rPr>
          <w:rFonts w:cs="Times New Roman"/>
          <w:color w:val="000000" w:themeColor="text1"/>
          <w:szCs w:val="24"/>
        </w:rPr>
        <w:t>, hvor</w:t>
      </w:r>
      <w:r w:rsidR="006A5105">
        <w:rPr>
          <w:rFonts w:cs="Times New Roman"/>
          <w:color w:val="000000" w:themeColor="text1"/>
          <w:szCs w:val="24"/>
        </w:rPr>
        <w:t xml:space="preserve"> det foreslås i stk. 1, at</w:t>
      </w:r>
      <w:r w:rsidR="00B82D21">
        <w:rPr>
          <w:rFonts w:cs="Times New Roman"/>
          <w:color w:val="000000" w:themeColor="text1"/>
          <w:szCs w:val="24"/>
        </w:rPr>
        <w:t xml:space="preserve"> </w:t>
      </w:r>
      <w:r w:rsidR="005D1952" w:rsidRPr="00815B3E">
        <w:rPr>
          <w:rFonts w:eastAsia="Calibri" w:cs="Times New Roman"/>
          <w:bCs/>
          <w:color w:val="000000" w:themeColor="text1"/>
          <w:szCs w:val="24"/>
        </w:rPr>
        <w:t>s</w:t>
      </w:r>
      <w:r w:rsidR="00216487" w:rsidRPr="00815B3E">
        <w:rPr>
          <w:rFonts w:eastAsia="Calibri" w:cs="Times New Roman"/>
          <w:bCs/>
          <w:color w:val="000000" w:themeColor="text1"/>
          <w:szCs w:val="24"/>
        </w:rPr>
        <w:t>kattepligtige, der ejer lagerbeskattede ejendomme, jf. ejendoms</w:t>
      </w:r>
      <w:r w:rsidR="00216487" w:rsidRPr="00815B3E">
        <w:rPr>
          <w:rFonts w:eastAsia="Calibri" w:cs="Times New Roman"/>
          <w:bCs/>
          <w:color w:val="000000" w:themeColor="text1"/>
          <w:szCs w:val="24"/>
        </w:rPr>
        <w:lastRenderedPageBreak/>
        <w:t>avancebeskatningslovens kapitel 3, skal dokumentere de økonomiske omstændigheder, der ligger til grund for værdiansættelsen af selskabets faste ejendomme efter ejendomsavancebeskatningslovens §§ 14 A og 14 B, hvis told- og skatteforvaltning anmoder herom.</w:t>
      </w:r>
    </w:p>
    <w:p w14:paraId="2F2AC7C7" w14:textId="041F774F" w:rsidR="007E15A6" w:rsidRPr="00815B3E" w:rsidRDefault="005D1952" w:rsidP="005D1952">
      <w:pPr>
        <w:spacing w:after="240"/>
        <w:rPr>
          <w:rFonts w:eastAsia="Calibri" w:cs="Times New Roman"/>
          <w:bCs/>
          <w:color w:val="000000" w:themeColor="text1"/>
          <w:szCs w:val="24"/>
        </w:rPr>
      </w:pPr>
      <w:r w:rsidRPr="00815B3E">
        <w:rPr>
          <w:rFonts w:eastAsia="Calibri" w:cs="Times New Roman"/>
          <w:bCs/>
          <w:color w:val="000000" w:themeColor="text1"/>
          <w:szCs w:val="24"/>
        </w:rPr>
        <w:t>Hermed skal skattepligtige kunne dokumentere, hvordan handelsværdien af de lagerbeskattede ejendomme er estimeret</w:t>
      </w:r>
      <w:r w:rsidR="00824153" w:rsidRPr="00815B3E">
        <w:rPr>
          <w:rFonts w:eastAsia="Calibri" w:cs="Times New Roman"/>
          <w:bCs/>
          <w:color w:val="000000" w:themeColor="text1"/>
          <w:szCs w:val="24"/>
        </w:rPr>
        <w:t>,</w:t>
      </w:r>
      <w:r w:rsidRPr="00815B3E">
        <w:rPr>
          <w:rFonts w:eastAsia="Calibri" w:cs="Times New Roman"/>
          <w:bCs/>
          <w:color w:val="000000" w:themeColor="text1"/>
          <w:szCs w:val="24"/>
        </w:rPr>
        <w:t xml:space="preserve"> og hvilke </w:t>
      </w:r>
      <w:r w:rsidR="00824153" w:rsidRPr="00815B3E">
        <w:rPr>
          <w:rFonts w:eastAsia="Calibri" w:cs="Times New Roman"/>
          <w:bCs/>
          <w:color w:val="000000" w:themeColor="text1"/>
          <w:szCs w:val="24"/>
        </w:rPr>
        <w:t>værdiansættelses</w:t>
      </w:r>
      <w:r w:rsidRPr="00815B3E">
        <w:rPr>
          <w:rFonts w:eastAsia="Calibri" w:cs="Times New Roman"/>
          <w:bCs/>
          <w:color w:val="000000" w:themeColor="text1"/>
          <w:szCs w:val="24"/>
        </w:rPr>
        <w:t>metoder der er anvendt</w:t>
      </w:r>
      <w:r w:rsidR="008F427A">
        <w:rPr>
          <w:rFonts w:eastAsia="Calibri" w:cs="Times New Roman"/>
          <w:bCs/>
          <w:color w:val="000000" w:themeColor="text1"/>
          <w:szCs w:val="24"/>
        </w:rPr>
        <w:t>,</w:t>
      </w:r>
      <w:r w:rsidRPr="00815B3E">
        <w:rPr>
          <w:rFonts w:eastAsia="Calibri" w:cs="Times New Roman"/>
          <w:bCs/>
          <w:color w:val="000000" w:themeColor="text1"/>
          <w:szCs w:val="24"/>
        </w:rPr>
        <w:t xml:space="preserve"> </w:t>
      </w:r>
      <w:r w:rsidR="008F427A">
        <w:rPr>
          <w:rFonts w:eastAsia="Calibri" w:cs="Times New Roman"/>
          <w:bCs/>
          <w:szCs w:val="24"/>
        </w:rPr>
        <w:t>herunder hvordan de forskellige parametre i modellen er fastlagt.</w:t>
      </w:r>
    </w:p>
    <w:p w14:paraId="785EA79E" w14:textId="138E0179" w:rsidR="00676F19" w:rsidRPr="00815B3E" w:rsidRDefault="00676F19" w:rsidP="005D1952">
      <w:pPr>
        <w:spacing w:after="240"/>
        <w:rPr>
          <w:rFonts w:eastAsia="Calibri" w:cs="Times New Roman"/>
          <w:bCs/>
          <w:color w:val="000000" w:themeColor="text1"/>
          <w:szCs w:val="24"/>
        </w:rPr>
      </w:pPr>
      <w:r w:rsidRPr="00815B3E">
        <w:rPr>
          <w:rFonts w:eastAsia="Calibri" w:cs="Times New Roman"/>
          <w:bCs/>
          <w:color w:val="000000" w:themeColor="text1"/>
          <w:szCs w:val="24"/>
        </w:rPr>
        <w:t>Ejendommens værdi</w:t>
      </w:r>
      <w:r w:rsidR="00FA5729">
        <w:rPr>
          <w:rFonts w:eastAsia="Calibri" w:cs="Times New Roman"/>
          <w:bCs/>
          <w:color w:val="000000" w:themeColor="text1"/>
          <w:szCs w:val="24"/>
        </w:rPr>
        <w:t>,</w:t>
      </w:r>
      <w:r w:rsidR="005D1952" w:rsidRPr="00815B3E">
        <w:rPr>
          <w:rFonts w:eastAsia="Calibri" w:cs="Times New Roman"/>
          <w:bCs/>
          <w:color w:val="000000" w:themeColor="text1"/>
          <w:szCs w:val="24"/>
        </w:rPr>
        <w:t xml:space="preserve"> der i regnskabet er opgjort til dagsværdi, vil kunne udgøre et </w:t>
      </w:r>
      <w:r w:rsidR="00D53639" w:rsidRPr="00815B3E">
        <w:rPr>
          <w:rFonts w:eastAsia="Calibri" w:cs="Times New Roman"/>
          <w:bCs/>
          <w:color w:val="000000" w:themeColor="text1"/>
          <w:szCs w:val="24"/>
        </w:rPr>
        <w:t xml:space="preserve">godt </w:t>
      </w:r>
      <w:r w:rsidR="005D1952" w:rsidRPr="00815B3E">
        <w:rPr>
          <w:rFonts w:eastAsia="Calibri" w:cs="Times New Roman"/>
          <w:bCs/>
          <w:color w:val="000000" w:themeColor="text1"/>
          <w:szCs w:val="24"/>
        </w:rPr>
        <w:t xml:space="preserve">udgangspunkt for </w:t>
      </w:r>
      <w:r w:rsidR="00D53639" w:rsidRPr="00815B3E">
        <w:rPr>
          <w:rFonts w:eastAsia="Calibri" w:cs="Times New Roman"/>
          <w:bCs/>
          <w:color w:val="000000" w:themeColor="text1"/>
          <w:szCs w:val="24"/>
        </w:rPr>
        <w:t>opgørelsen af handelsværdien efter den foreslåede ejendomsavancebeskatningslovs §§ 14 A og 14 B</w:t>
      </w:r>
      <w:r w:rsidR="00FC0AC3" w:rsidRPr="00815B3E">
        <w:rPr>
          <w:rFonts w:eastAsia="Calibri" w:cs="Times New Roman"/>
          <w:bCs/>
          <w:color w:val="000000" w:themeColor="text1"/>
          <w:szCs w:val="24"/>
        </w:rPr>
        <w:t xml:space="preserve">, </w:t>
      </w:r>
      <w:r w:rsidR="006E2A68" w:rsidRPr="00815B3E">
        <w:rPr>
          <w:rFonts w:eastAsia="Calibri" w:cs="Times New Roman"/>
          <w:bCs/>
          <w:color w:val="000000" w:themeColor="text1"/>
          <w:szCs w:val="24"/>
        </w:rPr>
        <w:t>hvis</w:t>
      </w:r>
      <w:r w:rsidR="00FC0AC3" w:rsidRPr="00815B3E">
        <w:rPr>
          <w:rFonts w:eastAsia="Calibri" w:cs="Times New Roman"/>
          <w:bCs/>
          <w:color w:val="000000" w:themeColor="text1"/>
          <w:szCs w:val="24"/>
        </w:rPr>
        <w:t xml:space="preserve"> selskabet i regnskabet opgør værdien af den faste ejendom </w:t>
      </w:r>
      <w:r w:rsidR="00D534CA" w:rsidRPr="00815B3E">
        <w:rPr>
          <w:rFonts w:eastAsia="Calibri" w:cs="Times New Roman"/>
          <w:bCs/>
          <w:color w:val="000000" w:themeColor="text1"/>
          <w:szCs w:val="24"/>
        </w:rPr>
        <w:t xml:space="preserve">til dagsværdi </w:t>
      </w:r>
      <w:r w:rsidR="00FC0AC3" w:rsidRPr="00815B3E">
        <w:rPr>
          <w:rFonts w:eastAsia="Calibri" w:cs="Times New Roman"/>
          <w:bCs/>
          <w:color w:val="000000" w:themeColor="text1"/>
          <w:szCs w:val="24"/>
        </w:rPr>
        <w:t>efter årsregnskabslovens § 38</w:t>
      </w:r>
      <w:r w:rsidR="00D53639" w:rsidRPr="00815B3E">
        <w:rPr>
          <w:rFonts w:eastAsia="Calibri" w:cs="Times New Roman"/>
          <w:bCs/>
          <w:color w:val="000000" w:themeColor="text1"/>
          <w:szCs w:val="24"/>
        </w:rPr>
        <w:t xml:space="preserve">. </w:t>
      </w:r>
    </w:p>
    <w:p w14:paraId="51599093" w14:textId="57DABB7A" w:rsidR="005D1952" w:rsidRPr="00815B3E" w:rsidRDefault="00D53639" w:rsidP="005D1952">
      <w:pPr>
        <w:spacing w:after="240"/>
        <w:rPr>
          <w:rFonts w:eastAsia="Calibri" w:cs="Times New Roman"/>
          <w:bCs/>
          <w:color w:val="000000" w:themeColor="text1"/>
          <w:szCs w:val="24"/>
        </w:rPr>
      </w:pPr>
      <w:r w:rsidRPr="00815B3E">
        <w:rPr>
          <w:rFonts w:eastAsia="Calibri" w:cs="Times New Roman"/>
          <w:bCs/>
          <w:color w:val="000000" w:themeColor="text1"/>
          <w:szCs w:val="24"/>
        </w:rPr>
        <w:t>Den skattepligtige skal imidlertid kunne dokumentere</w:t>
      </w:r>
      <w:r w:rsidR="007E15A6" w:rsidRPr="00815B3E">
        <w:rPr>
          <w:rFonts w:eastAsia="Calibri" w:cs="Times New Roman"/>
          <w:bCs/>
          <w:color w:val="000000" w:themeColor="text1"/>
          <w:szCs w:val="24"/>
        </w:rPr>
        <w:t>,</w:t>
      </w:r>
      <w:r w:rsidRPr="00815B3E">
        <w:rPr>
          <w:rFonts w:eastAsia="Calibri" w:cs="Times New Roman"/>
          <w:bCs/>
          <w:color w:val="000000" w:themeColor="text1"/>
          <w:szCs w:val="24"/>
        </w:rPr>
        <w:t xml:space="preserve"> om værdien er estimeret ud fra en</w:t>
      </w:r>
      <w:r w:rsidR="00FC0AC3" w:rsidRPr="00815B3E">
        <w:rPr>
          <w:rFonts w:eastAsia="Calibri" w:cs="Times New Roman"/>
          <w:bCs/>
          <w:color w:val="000000" w:themeColor="text1"/>
          <w:szCs w:val="24"/>
        </w:rPr>
        <w:t xml:space="preserve"> omkostningsbaseret, en</w:t>
      </w:r>
      <w:r w:rsidRPr="00815B3E">
        <w:rPr>
          <w:rFonts w:eastAsia="Calibri" w:cs="Times New Roman"/>
          <w:bCs/>
          <w:color w:val="000000" w:themeColor="text1"/>
          <w:szCs w:val="24"/>
        </w:rPr>
        <w:t xml:space="preserve"> indkomstbaseret eller markedsbaseret værdiansættelsesmetode, eller om der </w:t>
      </w:r>
      <w:r w:rsidR="00FC0AC3" w:rsidRPr="00815B3E">
        <w:rPr>
          <w:rFonts w:eastAsia="Calibri" w:cs="Times New Roman"/>
          <w:bCs/>
          <w:color w:val="000000" w:themeColor="text1"/>
          <w:szCs w:val="24"/>
        </w:rPr>
        <w:t>f.eks.</w:t>
      </w:r>
      <w:r w:rsidRPr="00815B3E">
        <w:rPr>
          <w:rFonts w:eastAsia="Calibri" w:cs="Times New Roman"/>
          <w:bCs/>
          <w:color w:val="000000" w:themeColor="text1"/>
          <w:szCs w:val="24"/>
        </w:rPr>
        <w:t xml:space="preserve"> er anvendt en indkomstbaseret metode med en efterfølgende analyse af </w:t>
      </w:r>
      <w:proofErr w:type="gramStart"/>
      <w:r w:rsidRPr="00815B3E">
        <w:rPr>
          <w:rFonts w:eastAsia="Calibri" w:cs="Times New Roman"/>
          <w:bCs/>
          <w:color w:val="000000" w:themeColor="text1"/>
          <w:szCs w:val="24"/>
        </w:rPr>
        <w:t>faktiske</w:t>
      </w:r>
      <w:proofErr w:type="gramEnd"/>
      <w:r w:rsidRPr="00815B3E">
        <w:rPr>
          <w:rFonts w:eastAsia="Calibri" w:cs="Times New Roman"/>
          <w:bCs/>
          <w:color w:val="000000" w:themeColor="text1"/>
          <w:szCs w:val="24"/>
        </w:rPr>
        <w:t xml:space="preserve"> handler i markedet. </w:t>
      </w:r>
    </w:p>
    <w:p w14:paraId="0F688A95" w14:textId="4630C5C6" w:rsidR="00FC0AC3" w:rsidRPr="00813769" w:rsidRDefault="00FC0AC3" w:rsidP="005D1952">
      <w:pPr>
        <w:spacing w:after="240"/>
        <w:rPr>
          <w:rFonts w:eastAsia="Calibri" w:cs="Times New Roman"/>
          <w:bCs/>
          <w:szCs w:val="24"/>
        </w:rPr>
      </w:pPr>
      <w:r w:rsidRPr="00815B3E">
        <w:rPr>
          <w:rFonts w:eastAsia="Calibri" w:cs="Times New Roman"/>
          <w:bCs/>
          <w:color w:val="000000" w:themeColor="text1"/>
          <w:szCs w:val="24"/>
        </w:rPr>
        <w:t xml:space="preserve">Ved en omkostningsbaseret metode forstås det beløb, som det ville kræve at erstatte eller genskabe den faste ejendom. Det er vurderingen, at </w:t>
      </w:r>
      <w:r w:rsidR="007E15A6" w:rsidRPr="00815B3E">
        <w:rPr>
          <w:rFonts w:eastAsia="Calibri" w:cs="Times New Roman"/>
          <w:bCs/>
          <w:color w:val="000000" w:themeColor="text1"/>
          <w:szCs w:val="24"/>
        </w:rPr>
        <w:t xml:space="preserve">denne opgørelsesmetode kun undtagelsesvist vil kunne anvendes, da det vurderes at være usædvanligt at anvende </w:t>
      </w:r>
      <w:r w:rsidRPr="00815B3E">
        <w:rPr>
          <w:rFonts w:eastAsia="Calibri" w:cs="Times New Roman"/>
          <w:bCs/>
          <w:color w:val="000000" w:themeColor="text1"/>
          <w:szCs w:val="24"/>
        </w:rPr>
        <w:t xml:space="preserve">denne metode </w:t>
      </w:r>
      <w:r w:rsidR="007E15A6" w:rsidRPr="00815B3E">
        <w:rPr>
          <w:rFonts w:eastAsia="Calibri" w:cs="Times New Roman"/>
          <w:bCs/>
          <w:color w:val="000000" w:themeColor="text1"/>
          <w:szCs w:val="24"/>
        </w:rPr>
        <w:t xml:space="preserve">som udtryk for </w:t>
      </w:r>
      <w:r w:rsidRPr="00815B3E">
        <w:rPr>
          <w:rFonts w:eastAsia="Calibri" w:cs="Times New Roman"/>
          <w:bCs/>
          <w:color w:val="000000" w:themeColor="text1"/>
          <w:szCs w:val="24"/>
        </w:rPr>
        <w:t>ejendom</w:t>
      </w:r>
      <w:r w:rsidR="007E15A6" w:rsidRPr="00815B3E">
        <w:rPr>
          <w:rFonts w:eastAsia="Calibri" w:cs="Times New Roman"/>
          <w:bCs/>
          <w:color w:val="000000" w:themeColor="text1"/>
          <w:szCs w:val="24"/>
        </w:rPr>
        <w:t>men</w:t>
      </w:r>
      <w:r w:rsidRPr="00815B3E">
        <w:rPr>
          <w:rFonts w:eastAsia="Calibri" w:cs="Times New Roman"/>
          <w:bCs/>
          <w:color w:val="000000" w:themeColor="text1"/>
          <w:szCs w:val="24"/>
        </w:rPr>
        <w:t>s handelsværdi</w:t>
      </w:r>
      <w:r w:rsidR="007E15A6" w:rsidRPr="00815B3E">
        <w:rPr>
          <w:rFonts w:eastAsia="Calibri" w:cs="Times New Roman"/>
          <w:bCs/>
          <w:color w:val="000000" w:themeColor="text1"/>
          <w:szCs w:val="24"/>
        </w:rPr>
        <w:t>.</w:t>
      </w:r>
      <w:r w:rsidR="0040126A" w:rsidRPr="00815B3E">
        <w:rPr>
          <w:rFonts w:eastAsia="Calibri" w:cs="Times New Roman"/>
          <w:bCs/>
          <w:color w:val="000000" w:themeColor="text1"/>
          <w:szCs w:val="24"/>
        </w:rPr>
        <w:t xml:space="preserve"> Derudover vurderes det, at denne metode også kun er relevant, såfremt den indkomstbaserede eller markedsbaserede metode ikke kan finde anvendelse.</w:t>
      </w:r>
      <w:r w:rsidR="009549E3">
        <w:rPr>
          <w:rFonts w:eastAsia="Calibri" w:cs="Times New Roman"/>
          <w:bCs/>
          <w:color w:val="000000" w:themeColor="text1"/>
          <w:szCs w:val="24"/>
        </w:rPr>
        <w:t xml:space="preserve"> </w:t>
      </w:r>
    </w:p>
    <w:p w14:paraId="643DAFB9" w14:textId="55128041" w:rsidR="00FA5729" w:rsidRPr="00AA527C" w:rsidRDefault="00FA5729" w:rsidP="00FA5729">
      <w:pPr>
        <w:spacing w:after="240"/>
        <w:rPr>
          <w:rFonts w:eastAsia="Calibri" w:cs="Times New Roman"/>
          <w:bCs/>
          <w:color w:val="000000" w:themeColor="text1"/>
          <w:szCs w:val="24"/>
        </w:rPr>
      </w:pPr>
      <w:r w:rsidRPr="00AA527C">
        <w:rPr>
          <w:rFonts w:eastAsia="Calibri" w:cs="Times New Roman"/>
          <w:bCs/>
          <w:color w:val="000000" w:themeColor="text1"/>
          <w:szCs w:val="24"/>
        </w:rPr>
        <w:t xml:space="preserve">Ved en indkomstbaseret metode vil værdien </w:t>
      </w:r>
      <w:r>
        <w:rPr>
          <w:rFonts w:eastAsia="Calibri" w:cs="Times New Roman"/>
          <w:bCs/>
          <w:color w:val="000000" w:themeColor="text1"/>
          <w:szCs w:val="24"/>
        </w:rPr>
        <w:t>blive fastsat</w:t>
      </w:r>
      <w:r w:rsidRPr="00AA527C">
        <w:rPr>
          <w:rFonts w:eastAsia="Calibri" w:cs="Times New Roman"/>
          <w:bCs/>
          <w:color w:val="000000" w:themeColor="text1"/>
          <w:szCs w:val="24"/>
        </w:rPr>
        <w:t xml:space="preserve"> på baggrund af den faste ejendoms fremtidige potentielle indtjeningsgrundlag tilbagediskonteret til nutidsværdi. Et eksempel herpå kunne være en såkaldt </w:t>
      </w:r>
      <w:proofErr w:type="spellStart"/>
      <w:r w:rsidRPr="00AA527C">
        <w:rPr>
          <w:rFonts w:eastAsia="Calibri" w:cs="Times New Roman"/>
          <w:bCs/>
          <w:color w:val="000000" w:themeColor="text1"/>
          <w:szCs w:val="24"/>
        </w:rPr>
        <w:t>Discounted</w:t>
      </w:r>
      <w:proofErr w:type="spellEnd"/>
      <w:r w:rsidRPr="00AA527C">
        <w:rPr>
          <w:rFonts w:eastAsia="Calibri" w:cs="Times New Roman"/>
          <w:bCs/>
          <w:color w:val="000000" w:themeColor="text1"/>
          <w:szCs w:val="24"/>
        </w:rPr>
        <w:t xml:space="preserve"> Cash Flow model (DCF-model). DCF-modellen anvendes ofte af ejendomsinvestorer. Den anvendes ligeledes af valuarer </w:t>
      </w:r>
      <w:r>
        <w:rPr>
          <w:rFonts w:eastAsia="Calibri" w:cs="Times New Roman"/>
          <w:bCs/>
          <w:color w:val="000000" w:themeColor="text1"/>
          <w:szCs w:val="24"/>
        </w:rPr>
        <w:t>ved</w:t>
      </w:r>
      <w:r w:rsidRPr="00AA527C">
        <w:rPr>
          <w:rFonts w:eastAsia="Calibri" w:cs="Times New Roman"/>
          <w:bCs/>
          <w:color w:val="000000" w:themeColor="text1"/>
          <w:szCs w:val="24"/>
        </w:rPr>
        <w:t xml:space="preserve"> vurdering af ejendomme ejet af andelsboligforeninger, når disse skal vurderes som en udlejningsejendom</w:t>
      </w:r>
      <w:r w:rsidR="001A69F3">
        <w:rPr>
          <w:rFonts w:eastAsia="Calibri" w:cs="Times New Roman"/>
          <w:bCs/>
          <w:color w:val="000000" w:themeColor="text1"/>
          <w:szCs w:val="24"/>
        </w:rPr>
        <w:t>,</w:t>
      </w:r>
      <w:r w:rsidRPr="00AA527C">
        <w:rPr>
          <w:rFonts w:eastAsia="Calibri" w:cs="Times New Roman"/>
          <w:bCs/>
          <w:color w:val="000000" w:themeColor="text1"/>
          <w:szCs w:val="24"/>
        </w:rPr>
        <w:t xml:space="preserve"> jf. </w:t>
      </w:r>
      <w:r>
        <w:rPr>
          <w:rFonts w:eastAsia="Calibri" w:cs="Times New Roman"/>
          <w:bCs/>
          <w:color w:val="000000" w:themeColor="text1"/>
          <w:szCs w:val="24"/>
        </w:rPr>
        <w:t>b</w:t>
      </w:r>
      <w:r w:rsidRPr="00AA527C">
        <w:rPr>
          <w:rFonts w:eastAsia="Calibri" w:cs="Times New Roman"/>
          <w:bCs/>
          <w:color w:val="000000" w:themeColor="text1"/>
          <w:szCs w:val="24"/>
        </w:rPr>
        <w:t xml:space="preserve">ekendtgørelse </w:t>
      </w:r>
      <w:r>
        <w:rPr>
          <w:rFonts w:eastAsia="Calibri" w:cs="Times New Roman"/>
          <w:bCs/>
          <w:color w:val="000000" w:themeColor="text1"/>
          <w:szCs w:val="24"/>
        </w:rPr>
        <w:t>nr. 978 af 28. juni 2018</w:t>
      </w:r>
      <w:r w:rsidRPr="00AA527C">
        <w:rPr>
          <w:rFonts w:eastAsia="Calibri" w:cs="Times New Roman"/>
          <w:bCs/>
          <w:color w:val="000000" w:themeColor="text1"/>
          <w:szCs w:val="24"/>
        </w:rPr>
        <w:t xml:space="preserve"> om vurdering af ejendomme tilhørende private andelsboligforeninger ved valuar § 6. </w:t>
      </w:r>
    </w:p>
    <w:p w14:paraId="5336518E" w14:textId="4E536BA2" w:rsidR="00712004" w:rsidRPr="00815B3E" w:rsidRDefault="00712004" w:rsidP="000E6880">
      <w:pPr>
        <w:spacing w:after="240"/>
        <w:rPr>
          <w:rFonts w:eastAsia="Calibri" w:cs="Times New Roman"/>
          <w:bCs/>
          <w:color w:val="000000" w:themeColor="text1"/>
          <w:szCs w:val="24"/>
        </w:rPr>
      </w:pPr>
      <w:r w:rsidRPr="00815B3E">
        <w:rPr>
          <w:rFonts w:eastAsia="Calibri" w:cs="Times New Roman"/>
          <w:bCs/>
          <w:color w:val="000000" w:themeColor="text1"/>
          <w:szCs w:val="24"/>
        </w:rPr>
        <w:t>Den markedsbasere</w:t>
      </w:r>
      <w:r w:rsidR="004B72DC" w:rsidRPr="00815B3E">
        <w:rPr>
          <w:rFonts w:eastAsia="Calibri" w:cs="Times New Roman"/>
          <w:bCs/>
          <w:color w:val="000000" w:themeColor="text1"/>
          <w:szCs w:val="24"/>
        </w:rPr>
        <w:t>de</w:t>
      </w:r>
      <w:r w:rsidRPr="00815B3E">
        <w:rPr>
          <w:rFonts w:eastAsia="Calibri" w:cs="Times New Roman"/>
          <w:bCs/>
          <w:color w:val="000000" w:themeColor="text1"/>
          <w:szCs w:val="24"/>
        </w:rPr>
        <w:t xml:space="preserve"> metode baserer </w:t>
      </w:r>
      <w:r w:rsidR="00FA5729">
        <w:rPr>
          <w:rFonts w:eastAsia="Calibri" w:cs="Times New Roman"/>
          <w:bCs/>
          <w:color w:val="000000" w:themeColor="text1"/>
          <w:szCs w:val="24"/>
        </w:rPr>
        <w:t xml:space="preserve">opgørelsen af </w:t>
      </w:r>
      <w:r w:rsidRPr="00815B3E">
        <w:rPr>
          <w:rFonts w:eastAsia="Calibri" w:cs="Times New Roman"/>
          <w:bCs/>
          <w:color w:val="000000" w:themeColor="text1"/>
          <w:szCs w:val="24"/>
        </w:rPr>
        <w:t xml:space="preserve">værdien </w:t>
      </w:r>
      <w:r w:rsidR="004B72DC" w:rsidRPr="00815B3E">
        <w:rPr>
          <w:rFonts w:eastAsia="Calibri" w:cs="Times New Roman"/>
          <w:bCs/>
          <w:color w:val="000000" w:themeColor="text1"/>
          <w:szCs w:val="24"/>
        </w:rPr>
        <w:t>på sammenlignelige salgspriser i markedet for sammenlignelige ejendomme, hvilket kræver en høj grad af sammenlignelighed. Den sammenlignelige ejendom skal således have de samme karakteristika, som den ejendom der værdiansættes</w:t>
      </w:r>
      <w:r w:rsidR="00152222">
        <w:rPr>
          <w:rFonts w:eastAsia="Calibri" w:cs="Times New Roman"/>
          <w:bCs/>
          <w:color w:val="000000" w:themeColor="text1"/>
          <w:szCs w:val="24"/>
        </w:rPr>
        <w:t>,</w:t>
      </w:r>
      <w:r w:rsidR="004B72DC" w:rsidRPr="00815B3E">
        <w:rPr>
          <w:rFonts w:eastAsia="Calibri" w:cs="Times New Roman"/>
          <w:bCs/>
          <w:color w:val="000000" w:themeColor="text1"/>
          <w:szCs w:val="24"/>
        </w:rPr>
        <w:t xml:space="preserve"> </w:t>
      </w:r>
      <w:r w:rsidR="004B72DC" w:rsidRPr="00815B3E">
        <w:rPr>
          <w:rFonts w:eastAsia="Calibri" w:cs="Times New Roman"/>
          <w:bCs/>
          <w:color w:val="000000" w:themeColor="text1"/>
          <w:szCs w:val="24"/>
        </w:rPr>
        <w:lastRenderedPageBreak/>
        <w:t xml:space="preserve">på parametre som beliggenhed, stand, størrelse, lejersammensætning og lejers </w:t>
      </w:r>
      <w:r w:rsidR="000E6880" w:rsidRPr="00815B3E">
        <w:rPr>
          <w:rFonts w:eastAsia="Calibri" w:cs="Times New Roman"/>
          <w:bCs/>
          <w:color w:val="000000" w:themeColor="text1"/>
          <w:szCs w:val="24"/>
        </w:rPr>
        <w:t>kreditværdighed</w:t>
      </w:r>
      <w:r w:rsidR="004B72DC" w:rsidRPr="00815B3E">
        <w:rPr>
          <w:rFonts w:eastAsia="Calibri" w:cs="Times New Roman"/>
          <w:bCs/>
          <w:color w:val="000000" w:themeColor="text1"/>
          <w:szCs w:val="24"/>
        </w:rPr>
        <w:t xml:space="preserve">. Derudover kræver </w:t>
      </w:r>
      <w:r w:rsidR="000E6880" w:rsidRPr="00815B3E">
        <w:rPr>
          <w:rFonts w:eastAsia="Calibri" w:cs="Times New Roman"/>
          <w:bCs/>
          <w:color w:val="000000" w:themeColor="text1"/>
          <w:szCs w:val="24"/>
        </w:rPr>
        <w:t>metoden</w:t>
      </w:r>
      <w:r w:rsidR="004B72DC" w:rsidRPr="00815B3E">
        <w:rPr>
          <w:rFonts w:eastAsia="Calibri" w:cs="Times New Roman"/>
          <w:bCs/>
          <w:color w:val="000000" w:themeColor="text1"/>
          <w:szCs w:val="24"/>
        </w:rPr>
        <w:t xml:space="preserve">, at en faktisk handel af denne ejendom er forekommet </w:t>
      </w:r>
      <w:r w:rsidR="000E6880" w:rsidRPr="00815B3E">
        <w:rPr>
          <w:rFonts w:eastAsia="Calibri" w:cs="Times New Roman"/>
          <w:bCs/>
          <w:color w:val="000000" w:themeColor="text1"/>
          <w:szCs w:val="24"/>
        </w:rPr>
        <w:t>i en</w:t>
      </w:r>
      <w:r w:rsidR="004B72DC" w:rsidRPr="00815B3E">
        <w:rPr>
          <w:rFonts w:eastAsia="Calibri" w:cs="Times New Roman"/>
          <w:bCs/>
          <w:color w:val="000000" w:themeColor="text1"/>
          <w:szCs w:val="24"/>
        </w:rPr>
        <w:t xml:space="preserve"> periode, hvor de økonomiske omstændigheder </w:t>
      </w:r>
      <w:r w:rsidR="000E6880" w:rsidRPr="00815B3E">
        <w:rPr>
          <w:rFonts w:eastAsia="Calibri" w:cs="Times New Roman"/>
          <w:bCs/>
          <w:color w:val="000000" w:themeColor="text1"/>
          <w:szCs w:val="24"/>
        </w:rPr>
        <w:t xml:space="preserve">er sammenlignelige med tidspunktet for estimeringen af handelsværdien til brug for beskatningen. Har der f.eks. været betydelige udsving i renteniveauet, vil værdien af ejendommen måske ikke længere være sammenlignelig. </w:t>
      </w:r>
      <w:r w:rsidR="004B72DC" w:rsidRPr="00815B3E">
        <w:rPr>
          <w:rFonts w:eastAsia="Calibri" w:cs="Times New Roman"/>
          <w:bCs/>
          <w:color w:val="000000" w:themeColor="text1"/>
          <w:szCs w:val="24"/>
        </w:rPr>
        <w:t xml:space="preserve"> </w:t>
      </w:r>
      <w:r w:rsidR="000E6880" w:rsidRPr="00815B3E">
        <w:rPr>
          <w:rFonts w:eastAsia="Calibri" w:cs="Times New Roman"/>
          <w:bCs/>
          <w:color w:val="000000" w:themeColor="text1"/>
          <w:szCs w:val="24"/>
        </w:rPr>
        <w:t>Det er vurderingen, at det ofte er meget svært at basere værdien alene på en markedsbaseret metode, men at denne med fordel kan udgøre et supplement til f.eks. en DCF-beregning.</w:t>
      </w:r>
    </w:p>
    <w:p w14:paraId="0D6D8E72" w14:textId="38478DEB" w:rsidR="00790201" w:rsidRPr="00815B3E" w:rsidRDefault="00FA5729" w:rsidP="000E6880">
      <w:pPr>
        <w:spacing w:after="240"/>
        <w:rPr>
          <w:rFonts w:eastAsia="Calibri" w:cs="Times New Roman"/>
          <w:bCs/>
          <w:color w:val="000000" w:themeColor="text1"/>
          <w:szCs w:val="24"/>
        </w:rPr>
      </w:pPr>
      <w:r w:rsidRPr="00AA527C">
        <w:rPr>
          <w:rFonts w:eastAsia="Calibri" w:cs="Times New Roman"/>
          <w:bCs/>
          <w:color w:val="000000" w:themeColor="text1"/>
          <w:szCs w:val="24"/>
        </w:rPr>
        <w:t xml:space="preserve">Det er ikke et krav, at en specifik metode anvendes, </w:t>
      </w:r>
      <w:r>
        <w:rPr>
          <w:rFonts w:eastAsia="Calibri" w:cs="Times New Roman"/>
          <w:bCs/>
          <w:color w:val="000000" w:themeColor="text1"/>
          <w:szCs w:val="24"/>
        </w:rPr>
        <w:t xml:space="preserve">idet det dog er afgørende, at </w:t>
      </w:r>
      <w:r w:rsidRPr="00AA527C">
        <w:rPr>
          <w:rFonts w:eastAsia="Calibri" w:cs="Times New Roman"/>
          <w:bCs/>
          <w:color w:val="000000" w:themeColor="text1"/>
          <w:szCs w:val="24"/>
        </w:rPr>
        <w:t xml:space="preserve">resultatet </w:t>
      </w:r>
      <w:r>
        <w:rPr>
          <w:rFonts w:eastAsia="Calibri" w:cs="Times New Roman"/>
          <w:bCs/>
          <w:color w:val="000000" w:themeColor="text1"/>
          <w:szCs w:val="24"/>
        </w:rPr>
        <w:t xml:space="preserve">udgør en relevant vurdering af </w:t>
      </w:r>
      <w:r w:rsidRPr="00AA527C">
        <w:rPr>
          <w:rFonts w:eastAsia="Calibri" w:cs="Times New Roman"/>
          <w:bCs/>
          <w:color w:val="000000" w:themeColor="text1"/>
          <w:szCs w:val="24"/>
        </w:rPr>
        <w:t>den fast</w:t>
      </w:r>
      <w:r>
        <w:rPr>
          <w:rFonts w:eastAsia="Calibri" w:cs="Times New Roman"/>
          <w:bCs/>
          <w:color w:val="000000" w:themeColor="text1"/>
          <w:szCs w:val="24"/>
        </w:rPr>
        <w:t>e</w:t>
      </w:r>
      <w:r w:rsidRPr="00AA527C">
        <w:rPr>
          <w:rFonts w:eastAsia="Calibri" w:cs="Times New Roman"/>
          <w:bCs/>
          <w:color w:val="000000" w:themeColor="text1"/>
          <w:szCs w:val="24"/>
        </w:rPr>
        <w:t xml:space="preserve"> ejendoms handelsværdi. </w:t>
      </w:r>
      <w:r w:rsidR="00E468BD">
        <w:rPr>
          <w:rFonts w:eastAsia="Calibri" w:cs="Times New Roman"/>
          <w:bCs/>
          <w:color w:val="000000" w:themeColor="text1"/>
          <w:szCs w:val="24"/>
        </w:rPr>
        <w:t>Den skattepligtige skal i sin anvendelse af værdiansættelsesmetode være konsistent, og vælger den skattepligtige fra et år til et andet at ændre metodevalg</w:t>
      </w:r>
      <w:r w:rsidR="00152222">
        <w:rPr>
          <w:rFonts w:eastAsia="Calibri" w:cs="Times New Roman"/>
          <w:bCs/>
          <w:color w:val="000000" w:themeColor="text1"/>
          <w:szCs w:val="24"/>
        </w:rPr>
        <w:t>,</w:t>
      </w:r>
      <w:r w:rsidR="00E468BD">
        <w:rPr>
          <w:rFonts w:eastAsia="Calibri" w:cs="Times New Roman"/>
          <w:bCs/>
          <w:color w:val="000000" w:themeColor="text1"/>
          <w:szCs w:val="24"/>
        </w:rPr>
        <w:t xml:space="preserve"> skal ændringen kunne konkret begrundes. Ændrer den skattepligtige fx værdiansættelsesmetode fra en DCF-metode til en markedsbaseret metode kan dette f.eks. begrundes med, at en sammenlignelig ejendom er blevet solgt på et sammenligneligt tidspunkt for værdiansættelsen. </w:t>
      </w:r>
    </w:p>
    <w:p w14:paraId="48550899" w14:textId="0159F53B" w:rsidR="007E15A6" w:rsidRPr="00815B3E" w:rsidRDefault="005D1952" w:rsidP="007750AC">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Det foreslås </w:t>
      </w:r>
      <w:r w:rsidR="007E15A6" w:rsidRPr="00815B3E">
        <w:rPr>
          <w:rFonts w:eastAsia="Calibri" w:cs="Times New Roman"/>
          <w:bCs/>
          <w:color w:val="000000" w:themeColor="text1"/>
          <w:szCs w:val="24"/>
        </w:rPr>
        <w:t xml:space="preserve">endvidere at </w:t>
      </w:r>
      <w:r w:rsidR="00FA5729">
        <w:rPr>
          <w:rFonts w:eastAsia="Calibri" w:cs="Times New Roman"/>
          <w:bCs/>
          <w:color w:val="000000" w:themeColor="text1"/>
          <w:szCs w:val="24"/>
        </w:rPr>
        <w:t xml:space="preserve">indsætte </w:t>
      </w:r>
      <w:r w:rsidR="00FA5729" w:rsidRPr="00AA527C">
        <w:rPr>
          <w:rFonts w:eastAsia="Calibri" w:cs="Times New Roman"/>
          <w:bCs/>
          <w:color w:val="000000" w:themeColor="text1"/>
          <w:szCs w:val="24"/>
        </w:rPr>
        <w:t xml:space="preserve">et </w:t>
      </w:r>
      <w:r w:rsidR="00FA5729" w:rsidRPr="00AA527C">
        <w:rPr>
          <w:rFonts w:eastAsia="Calibri" w:cs="Times New Roman"/>
          <w:bCs/>
          <w:i/>
          <w:iCs/>
          <w:color w:val="000000" w:themeColor="text1"/>
          <w:szCs w:val="24"/>
        </w:rPr>
        <w:t>stk. 2</w:t>
      </w:r>
      <w:r w:rsidR="00FA5729" w:rsidRPr="00AA527C">
        <w:rPr>
          <w:rFonts w:eastAsia="Calibri" w:cs="Times New Roman"/>
          <w:bCs/>
          <w:color w:val="000000" w:themeColor="text1"/>
          <w:szCs w:val="24"/>
        </w:rPr>
        <w:t xml:space="preserve"> </w:t>
      </w:r>
      <w:r w:rsidR="00FA5729">
        <w:rPr>
          <w:rFonts w:eastAsia="Calibri" w:cs="Times New Roman"/>
          <w:bCs/>
          <w:color w:val="000000" w:themeColor="text1"/>
          <w:szCs w:val="24"/>
        </w:rPr>
        <w:t>i</w:t>
      </w:r>
      <w:r w:rsidR="00FA5729" w:rsidRPr="00AA527C">
        <w:rPr>
          <w:rFonts w:eastAsia="Calibri" w:cs="Times New Roman"/>
          <w:bCs/>
          <w:color w:val="000000" w:themeColor="text1"/>
          <w:szCs w:val="24"/>
        </w:rPr>
        <w:t xml:space="preserve"> </w:t>
      </w:r>
      <w:r w:rsidR="00FA5729">
        <w:rPr>
          <w:rFonts w:eastAsia="Calibri" w:cs="Times New Roman"/>
          <w:bCs/>
          <w:color w:val="000000" w:themeColor="text1"/>
          <w:szCs w:val="24"/>
        </w:rPr>
        <w:t xml:space="preserve">den </w:t>
      </w:r>
      <w:r w:rsidRPr="00815B3E">
        <w:rPr>
          <w:rFonts w:eastAsia="Calibri" w:cs="Times New Roman"/>
          <w:bCs/>
          <w:color w:val="000000" w:themeColor="text1"/>
          <w:szCs w:val="24"/>
        </w:rPr>
        <w:t>foreslåede § 36 A</w:t>
      </w:r>
      <w:r w:rsidR="007E15A6" w:rsidRPr="00815B3E">
        <w:rPr>
          <w:rFonts w:eastAsia="Calibri" w:cs="Times New Roman"/>
          <w:bCs/>
          <w:color w:val="000000" w:themeColor="text1"/>
          <w:szCs w:val="24"/>
        </w:rPr>
        <w:t xml:space="preserve"> i skattekontrolloven</w:t>
      </w:r>
      <w:r w:rsidRPr="00815B3E">
        <w:rPr>
          <w:rFonts w:eastAsia="Calibri" w:cs="Times New Roman"/>
          <w:bCs/>
          <w:color w:val="000000" w:themeColor="text1"/>
          <w:szCs w:val="24"/>
        </w:rPr>
        <w:t xml:space="preserve">, hvorefter </w:t>
      </w:r>
      <w:r w:rsidR="00665421">
        <w:rPr>
          <w:rFonts w:eastAsia="Calibri" w:cs="Times New Roman"/>
          <w:bCs/>
          <w:color w:val="000000" w:themeColor="text1"/>
          <w:szCs w:val="24"/>
        </w:rPr>
        <w:t>Skatteforvaltningen</w:t>
      </w:r>
      <w:r w:rsidR="00216487" w:rsidRPr="00815B3E">
        <w:rPr>
          <w:rFonts w:eastAsia="Calibri" w:cs="Times New Roman"/>
          <w:bCs/>
          <w:color w:val="000000" w:themeColor="text1"/>
          <w:szCs w:val="24"/>
        </w:rPr>
        <w:t xml:space="preserve"> kan fastsætte nærmere regler om indholdet af de oplysninger, der skal afgives efter stk. 1.</w:t>
      </w:r>
      <w:r w:rsidR="000E6880" w:rsidRPr="00815B3E">
        <w:rPr>
          <w:rFonts w:eastAsia="Calibri" w:cs="Times New Roman"/>
          <w:bCs/>
          <w:color w:val="000000" w:themeColor="text1"/>
          <w:szCs w:val="24"/>
        </w:rPr>
        <w:t xml:space="preserve"> </w:t>
      </w:r>
    </w:p>
    <w:p w14:paraId="4B6FD1BD" w14:textId="73218444" w:rsidR="00DD3BA5" w:rsidRDefault="000E6880" w:rsidP="00B2156C">
      <w:pPr>
        <w:spacing w:after="240"/>
        <w:rPr>
          <w:rFonts w:eastAsia="Calibri" w:cs="Times New Roman"/>
          <w:bCs/>
          <w:color w:val="000000" w:themeColor="text1"/>
          <w:szCs w:val="24"/>
        </w:rPr>
      </w:pPr>
      <w:r w:rsidRPr="00815B3E">
        <w:rPr>
          <w:rFonts w:eastAsia="Calibri" w:cs="Times New Roman"/>
          <w:bCs/>
          <w:color w:val="000000" w:themeColor="text1"/>
          <w:szCs w:val="24"/>
        </w:rPr>
        <w:t xml:space="preserve">Disse </w:t>
      </w:r>
      <w:r w:rsidR="00BD2F39" w:rsidRPr="00815B3E">
        <w:rPr>
          <w:rFonts w:eastAsia="Calibri" w:cs="Times New Roman"/>
          <w:bCs/>
          <w:color w:val="000000" w:themeColor="text1"/>
          <w:szCs w:val="24"/>
        </w:rPr>
        <w:t>oplysninger</w:t>
      </w:r>
      <w:r w:rsidRPr="00815B3E">
        <w:rPr>
          <w:rFonts w:eastAsia="Calibri" w:cs="Times New Roman"/>
          <w:bCs/>
          <w:color w:val="000000" w:themeColor="text1"/>
          <w:szCs w:val="24"/>
        </w:rPr>
        <w:t xml:space="preserve"> </w:t>
      </w:r>
      <w:r w:rsidR="007E15A6" w:rsidRPr="00815B3E">
        <w:rPr>
          <w:rFonts w:eastAsia="Calibri" w:cs="Times New Roman"/>
          <w:bCs/>
          <w:color w:val="000000" w:themeColor="text1"/>
          <w:szCs w:val="24"/>
        </w:rPr>
        <w:t xml:space="preserve">vil kunne </w:t>
      </w:r>
      <w:r w:rsidRPr="00815B3E">
        <w:rPr>
          <w:rFonts w:eastAsia="Calibri" w:cs="Times New Roman"/>
          <w:bCs/>
          <w:color w:val="000000" w:themeColor="text1"/>
          <w:szCs w:val="24"/>
        </w:rPr>
        <w:t xml:space="preserve">udgøre </w:t>
      </w:r>
      <w:r w:rsidR="007E15A6" w:rsidRPr="00815B3E">
        <w:rPr>
          <w:rFonts w:eastAsia="Calibri" w:cs="Times New Roman"/>
          <w:bCs/>
          <w:color w:val="000000" w:themeColor="text1"/>
          <w:szCs w:val="24"/>
        </w:rPr>
        <w:t>de</w:t>
      </w:r>
      <w:r w:rsidRPr="00815B3E">
        <w:rPr>
          <w:rFonts w:eastAsia="Calibri" w:cs="Times New Roman"/>
          <w:bCs/>
          <w:color w:val="000000" w:themeColor="text1"/>
          <w:szCs w:val="24"/>
        </w:rPr>
        <w:t xml:space="preserve"> økonomisk relevante parametre, der måtte påvirke værdiansættelsen, som f.eks. anvendt</w:t>
      </w:r>
      <w:r w:rsidR="008879BA" w:rsidRPr="00815B3E">
        <w:rPr>
          <w:rFonts w:eastAsia="Calibri" w:cs="Times New Roman"/>
          <w:bCs/>
          <w:color w:val="000000" w:themeColor="text1"/>
          <w:szCs w:val="24"/>
        </w:rPr>
        <w:t>e</w:t>
      </w:r>
      <w:r w:rsidRPr="00815B3E">
        <w:rPr>
          <w:rFonts w:eastAsia="Calibri" w:cs="Times New Roman"/>
          <w:bCs/>
          <w:color w:val="000000" w:themeColor="text1"/>
          <w:szCs w:val="24"/>
        </w:rPr>
        <w:t xml:space="preserve"> </w:t>
      </w:r>
      <w:r w:rsidR="00D52DBE">
        <w:rPr>
          <w:rFonts w:eastAsia="Calibri" w:cs="Times New Roman"/>
          <w:bCs/>
          <w:color w:val="000000" w:themeColor="text1"/>
          <w:szCs w:val="24"/>
        </w:rPr>
        <w:t>afkast</w:t>
      </w:r>
      <w:r w:rsidR="00D52DBE" w:rsidRPr="00815B3E">
        <w:rPr>
          <w:rFonts w:eastAsia="Calibri" w:cs="Times New Roman"/>
          <w:bCs/>
          <w:color w:val="000000" w:themeColor="text1"/>
          <w:szCs w:val="24"/>
        </w:rPr>
        <w:t xml:space="preserve">krav </w:t>
      </w:r>
      <w:r w:rsidR="007750AC" w:rsidRPr="00815B3E">
        <w:rPr>
          <w:rFonts w:eastAsia="Calibri" w:cs="Times New Roman"/>
          <w:bCs/>
          <w:color w:val="000000" w:themeColor="text1"/>
          <w:szCs w:val="24"/>
        </w:rPr>
        <w:t xml:space="preserve">og hvordan </w:t>
      </w:r>
      <w:r w:rsidR="009549E3" w:rsidRPr="00815B3E">
        <w:rPr>
          <w:rFonts w:eastAsia="Calibri" w:cs="Times New Roman"/>
          <w:bCs/>
          <w:color w:val="000000" w:themeColor="text1"/>
          <w:szCs w:val="24"/>
        </w:rPr>
        <w:t>d</w:t>
      </w:r>
      <w:r w:rsidR="009549E3">
        <w:rPr>
          <w:rFonts w:eastAsia="Calibri" w:cs="Times New Roman"/>
          <w:bCs/>
          <w:color w:val="000000" w:themeColor="text1"/>
          <w:szCs w:val="24"/>
        </w:rPr>
        <w:t>ette</w:t>
      </w:r>
      <w:r w:rsidR="009549E3" w:rsidRPr="00815B3E">
        <w:rPr>
          <w:rFonts w:eastAsia="Calibri" w:cs="Times New Roman"/>
          <w:bCs/>
          <w:color w:val="000000" w:themeColor="text1"/>
          <w:szCs w:val="24"/>
        </w:rPr>
        <w:t xml:space="preserve"> </w:t>
      </w:r>
      <w:r w:rsidR="007750AC" w:rsidRPr="00815B3E">
        <w:rPr>
          <w:rFonts w:eastAsia="Calibri" w:cs="Times New Roman"/>
          <w:bCs/>
          <w:color w:val="000000" w:themeColor="text1"/>
          <w:szCs w:val="24"/>
        </w:rPr>
        <w:t>er estimeret</w:t>
      </w:r>
      <w:r w:rsidRPr="00815B3E">
        <w:rPr>
          <w:rFonts w:eastAsia="Calibri" w:cs="Times New Roman"/>
          <w:bCs/>
          <w:color w:val="000000" w:themeColor="text1"/>
          <w:szCs w:val="24"/>
        </w:rPr>
        <w:t>, vækstf</w:t>
      </w:r>
      <w:r w:rsidR="007750AC" w:rsidRPr="00815B3E">
        <w:rPr>
          <w:rFonts w:eastAsia="Calibri" w:cs="Times New Roman"/>
          <w:bCs/>
          <w:color w:val="000000" w:themeColor="text1"/>
          <w:szCs w:val="24"/>
        </w:rPr>
        <w:t>orventninger i f</w:t>
      </w:r>
      <w:r w:rsidR="00454F5E">
        <w:rPr>
          <w:rFonts w:eastAsia="Calibri" w:cs="Times New Roman"/>
          <w:bCs/>
          <w:color w:val="000000" w:themeColor="text1"/>
          <w:szCs w:val="24"/>
        </w:rPr>
        <w:t>.eks.</w:t>
      </w:r>
      <w:r w:rsidR="007750AC" w:rsidRPr="00815B3E">
        <w:rPr>
          <w:rFonts w:eastAsia="Calibri" w:cs="Times New Roman"/>
          <w:bCs/>
          <w:color w:val="000000" w:themeColor="text1"/>
          <w:szCs w:val="24"/>
        </w:rPr>
        <w:t xml:space="preserve"> lejeniveau og driftsomkostninger</w:t>
      </w:r>
      <w:r w:rsidR="00BD2F39" w:rsidRPr="00815B3E">
        <w:rPr>
          <w:rFonts w:eastAsia="Calibri" w:cs="Times New Roman"/>
          <w:bCs/>
          <w:color w:val="000000" w:themeColor="text1"/>
          <w:szCs w:val="24"/>
        </w:rPr>
        <w:t xml:space="preserve"> samt</w:t>
      </w:r>
      <w:r w:rsidR="007750AC" w:rsidRPr="00815B3E">
        <w:rPr>
          <w:rFonts w:eastAsia="Calibri" w:cs="Times New Roman"/>
          <w:bCs/>
          <w:color w:val="000000" w:themeColor="text1"/>
          <w:szCs w:val="24"/>
        </w:rPr>
        <w:t xml:space="preserve"> den forventede inflation</w:t>
      </w:r>
      <w:r w:rsidR="008B60C7" w:rsidRPr="00815B3E">
        <w:rPr>
          <w:rFonts w:eastAsia="Calibri" w:cs="Times New Roman"/>
          <w:bCs/>
          <w:color w:val="000000" w:themeColor="text1"/>
          <w:szCs w:val="24"/>
        </w:rPr>
        <w:t xml:space="preserve"> m</w:t>
      </w:r>
      <w:r w:rsidR="00454F5E">
        <w:rPr>
          <w:rFonts w:eastAsia="Calibri" w:cs="Times New Roman"/>
          <w:bCs/>
          <w:color w:val="000000" w:themeColor="text1"/>
          <w:szCs w:val="24"/>
        </w:rPr>
        <w:t>.</w:t>
      </w:r>
      <w:r w:rsidR="008B60C7" w:rsidRPr="00815B3E">
        <w:rPr>
          <w:rFonts w:eastAsia="Calibri" w:cs="Times New Roman"/>
          <w:bCs/>
          <w:color w:val="000000" w:themeColor="text1"/>
          <w:szCs w:val="24"/>
        </w:rPr>
        <w:t>v</w:t>
      </w:r>
      <w:r w:rsidR="00ED500A" w:rsidRPr="00815B3E">
        <w:rPr>
          <w:rFonts w:eastAsia="Calibri" w:cs="Times New Roman"/>
          <w:bCs/>
          <w:color w:val="000000" w:themeColor="text1"/>
          <w:szCs w:val="24"/>
        </w:rPr>
        <w:t>. i budget- og terminalperioden</w:t>
      </w:r>
      <w:r w:rsidR="007750AC" w:rsidRPr="00815B3E">
        <w:rPr>
          <w:rFonts w:eastAsia="Calibri" w:cs="Times New Roman"/>
          <w:bCs/>
          <w:color w:val="000000" w:themeColor="text1"/>
          <w:szCs w:val="24"/>
        </w:rPr>
        <w:t>.</w:t>
      </w:r>
    </w:p>
    <w:p w14:paraId="6249179D" w14:textId="7B07BB49" w:rsidR="00293594" w:rsidRPr="00815B3E" w:rsidRDefault="00293594" w:rsidP="00293594">
      <w:pPr>
        <w:spacing w:after="240"/>
        <w:jc w:val="center"/>
        <w:rPr>
          <w:rFonts w:cs="Times New Roman"/>
          <w:i/>
          <w:color w:val="000000" w:themeColor="text1"/>
          <w:szCs w:val="24"/>
        </w:rPr>
      </w:pPr>
      <w:r w:rsidRPr="00815B3E">
        <w:rPr>
          <w:rFonts w:cs="Times New Roman"/>
          <w:i/>
          <w:color w:val="000000" w:themeColor="text1"/>
          <w:szCs w:val="24"/>
        </w:rPr>
        <w:t xml:space="preserve">Til § </w:t>
      </w:r>
      <w:r>
        <w:rPr>
          <w:rFonts w:cs="Times New Roman"/>
          <w:i/>
          <w:color w:val="000000" w:themeColor="text1"/>
          <w:szCs w:val="24"/>
        </w:rPr>
        <w:t>8</w:t>
      </w:r>
    </w:p>
    <w:p w14:paraId="291BCF35" w14:textId="6794D9B4" w:rsidR="00293594" w:rsidRDefault="00293594" w:rsidP="00293594">
      <w:pPr>
        <w:spacing w:after="240"/>
        <w:rPr>
          <w:rFonts w:cs="Times New Roman"/>
          <w:color w:val="000000" w:themeColor="text1"/>
          <w:szCs w:val="24"/>
        </w:rPr>
      </w:pPr>
      <w:r>
        <w:rPr>
          <w:rFonts w:cs="Times New Roman"/>
          <w:color w:val="000000" w:themeColor="text1"/>
          <w:szCs w:val="24"/>
        </w:rPr>
        <w:t xml:space="preserve">Det foreslås i virksomhedsskattelovens </w:t>
      </w:r>
      <w:r w:rsidRPr="00255CB9">
        <w:rPr>
          <w:rFonts w:cs="Times New Roman"/>
          <w:i/>
          <w:iCs/>
          <w:color w:val="000000" w:themeColor="text1"/>
          <w:szCs w:val="24"/>
        </w:rPr>
        <w:t>§ 1, stk. 2, 2. pkt.</w:t>
      </w:r>
      <w:r>
        <w:rPr>
          <w:rFonts w:cs="Times New Roman"/>
          <w:i/>
          <w:iCs/>
          <w:color w:val="000000" w:themeColor="text1"/>
          <w:szCs w:val="24"/>
        </w:rPr>
        <w:t>,</w:t>
      </w:r>
      <w:r>
        <w:rPr>
          <w:rFonts w:cs="Times New Roman"/>
          <w:color w:val="000000" w:themeColor="text1"/>
          <w:szCs w:val="24"/>
        </w:rPr>
        <w:t xml:space="preserve"> at ændre ”lov om beskatning af fortjeneste ved afståelse af fast ejendoms” til: ”ejendomsavancebeskatningslovens”.</w:t>
      </w:r>
    </w:p>
    <w:p w14:paraId="2AE8F0AF" w14:textId="77777777" w:rsidR="00293594" w:rsidRPr="00815B3E" w:rsidRDefault="00293594" w:rsidP="00293594">
      <w:pPr>
        <w:spacing w:after="240"/>
        <w:rPr>
          <w:rFonts w:cs="Times New Roman"/>
          <w:color w:val="000000" w:themeColor="text1"/>
          <w:szCs w:val="24"/>
        </w:rPr>
      </w:pPr>
      <w:r>
        <w:rPr>
          <w:rFonts w:cs="Times New Roman"/>
          <w:color w:val="000000" w:themeColor="text1"/>
          <w:szCs w:val="24"/>
        </w:rPr>
        <w:t>Forslaget er en konsekvens af forslaget om at ændre titlen på lov om beskatning af fortjeneste ved afståelse af fast ejendom.</w:t>
      </w:r>
    </w:p>
    <w:p w14:paraId="14217318" w14:textId="77777777" w:rsidR="00293594" w:rsidRPr="00813769" w:rsidRDefault="00293594" w:rsidP="00B2156C">
      <w:pPr>
        <w:spacing w:after="240"/>
        <w:rPr>
          <w:rFonts w:eastAsia="Calibri" w:cs="Times New Roman"/>
          <w:bCs/>
          <w:color w:val="000000" w:themeColor="text1"/>
          <w:szCs w:val="24"/>
        </w:rPr>
      </w:pPr>
    </w:p>
    <w:p w14:paraId="055D3198" w14:textId="67DC0882" w:rsidR="007E42A5" w:rsidRPr="00815B3E" w:rsidRDefault="007E42A5" w:rsidP="007E42A5">
      <w:pPr>
        <w:spacing w:after="240"/>
        <w:jc w:val="center"/>
        <w:rPr>
          <w:rFonts w:cs="Times New Roman"/>
          <w:i/>
          <w:color w:val="000000" w:themeColor="text1"/>
          <w:szCs w:val="24"/>
        </w:rPr>
      </w:pPr>
      <w:r w:rsidRPr="00815B3E">
        <w:rPr>
          <w:rFonts w:cs="Times New Roman"/>
          <w:i/>
          <w:color w:val="000000" w:themeColor="text1"/>
          <w:szCs w:val="24"/>
        </w:rPr>
        <w:t xml:space="preserve">Til § </w:t>
      </w:r>
      <w:r w:rsidR="00293594">
        <w:rPr>
          <w:rFonts w:cs="Times New Roman"/>
          <w:i/>
          <w:color w:val="000000" w:themeColor="text1"/>
          <w:szCs w:val="24"/>
        </w:rPr>
        <w:t>9</w:t>
      </w:r>
    </w:p>
    <w:p w14:paraId="3A796161" w14:textId="77777777" w:rsidR="00B82D21" w:rsidRDefault="007E42A5" w:rsidP="007E42A5">
      <w:pPr>
        <w:spacing w:after="240"/>
        <w:rPr>
          <w:rFonts w:cs="Times New Roman"/>
          <w:color w:val="000000" w:themeColor="text1"/>
          <w:szCs w:val="24"/>
        </w:rPr>
      </w:pPr>
      <w:r w:rsidRPr="00815B3E">
        <w:rPr>
          <w:rFonts w:cs="Times New Roman"/>
          <w:color w:val="000000" w:themeColor="text1"/>
          <w:szCs w:val="24"/>
        </w:rPr>
        <w:t xml:space="preserve">Det foreslås i </w:t>
      </w:r>
      <w:r w:rsidRPr="00815B3E">
        <w:rPr>
          <w:rFonts w:cs="Times New Roman"/>
          <w:i/>
          <w:color w:val="000000" w:themeColor="text1"/>
          <w:szCs w:val="24"/>
        </w:rPr>
        <w:t>stk. 1,</w:t>
      </w:r>
      <w:r w:rsidRPr="00815B3E">
        <w:rPr>
          <w:rFonts w:cs="Times New Roman"/>
          <w:color w:val="000000" w:themeColor="text1"/>
          <w:szCs w:val="24"/>
        </w:rPr>
        <w:t xml:space="preserve"> at loven skal træde i kraft den </w:t>
      </w:r>
      <w:r w:rsidR="00BF4DFF" w:rsidRPr="00815B3E">
        <w:rPr>
          <w:rFonts w:cs="Times New Roman"/>
          <w:color w:val="000000" w:themeColor="text1"/>
          <w:szCs w:val="24"/>
        </w:rPr>
        <w:t>1. januar 2023</w:t>
      </w:r>
      <w:r w:rsidR="00B82D21">
        <w:rPr>
          <w:rFonts w:cs="Times New Roman"/>
          <w:color w:val="000000" w:themeColor="text1"/>
          <w:szCs w:val="24"/>
        </w:rPr>
        <w:t>.</w:t>
      </w:r>
    </w:p>
    <w:p w14:paraId="6FBC43EB" w14:textId="7F3F4681" w:rsidR="007E42A5" w:rsidRPr="00815B3E" w:rsidRDefault="00B82D21" w:rsidP="007E42A5">
      <w:pPr>
        <w:spacing w:after="240"/>
        <w:rPr>
          <w:rFonts w:cs="Times New Roman"/>
          <w:color w:val="000000" w:themeColor="text1"/>
          <w:szCs w:val="24"/>
        </w:rPr>
      </w:pPr>
      <w:r>
        <w:rPr>
          <w:rFonts w:cs="Times New Roman"/>
          <w:color w:val="000000" w:themeColor="text1"/>
          <w:szCs w:val="24"/>
        </w:rPr>
        <w:lastRenderedPageBreak/>
        <w:t xml:space="preserve">Det foreslås i </w:t>
      </w:r>
      <w:r>
        <w:rPr>
          <w:rFonts w:cs="Times New Roman"/>
          <w:i/>
          <w:iCs/>
          <w:color w:val="000000" w:themeColor="text1"/>
          <w:szCs w:val="24"/>
        </w:rPr>
        <w:t>stk. 2,</w:t>
      </w:r>
      <w:r>
        <w:rPr>
          <w:rFonts w:cs="Times New Roman"/>
          <w:color w:val="000000" w:themeColor="text1"/>
          <w:szCs w:val="24"/>
        </w:rPr>
        <w:t xml:space="preserve"> af loven skal</w:t>
      </w:r>
      <w:r w:rsidR="00BF4DFF" w:rsidRPr="00815B3E">
        <w:rPr>
          <w:rFonts w:cs="Times New Roman"/>
          <w:color w:val="000000" w:themeColor="text1"/>
          <w:szCs w:val="24"/>
        </w:rPr>
        <w:t xml:space="preserve"> finde anvendelse på indkomstår, der påbegyndes den 1. januar 2023 eller senere.</w:t>
      </w:r>
    </w:p>
    <w:p w14:paraId="2C6944D0" w14:textId="442F3B43" w:rsidR="00BF4DFF" w:rsidRPr="00815B3E" w:rsidRDefault="00BF4DFF" w:rsidP="007E42A5">
      <w:pPr>
        <w:spacing w:after="240"/>
        <w:rPr>
          <w:rFonts w:cs="Times New Roman"/>
          <w:color w:val="000000" w:themeColor="text1"/>
          <w:szCs w:val="24"/>
        </w:rPr>
      </w:pPr>
      <w:r w:rsidRPr="00815B3E">
        <w:rPr>
          <w:rFonts w:cs="Times New Roman"/>
          <w:color w:val="000000" w:themeColor="text1"/>
          <w:szCs w:val="24"/>
        </w:rPr>
        <w:t>Den foreslåede lagerbeskatning vil for selskaber, hvis indkomstår følger kalenderåret, gælde fra og med den 1. januar 2023, hvis betingelserne for lagerbeskatning er opfyldt i indkomståret 2023.</w:t>
      </w:r>
    </w:p>
    <w:p w14:paraId="63014B16" w14:textId="2AB6BFE4" w:rsidR="00BF4DFF" w:rsidRPr="00815B3E" w:rsidRDefault="00BF4DFF" w:rsidP="007E42A5">
      <w:pPr>
        <w:spacing w:after="240"/>
        <w:rPr>
          <w:rFonts w:cs="Times New Roman"/>
          <w:color w:val="000000" w:themeColor="text1"/>
          <w:szCs w:val="24"/>
        </w:rPr>
      </w:pPr>
      <w:r w:rsidRPr="00815B3E">
        <w:rPr>
          <w:rFonts w:cs="Times New Roman"/>
          <w:color w:val="000000" w:themeColor="text1"/>
          <w:szCs w:val="24"/>
        </w:rPr>
        <w:t>For selskaber med forskudt regnskabsår, vil den foreslåede lagerbeskatning gælde fra et senere tidspunkt. For selskaber, hvis indkomstår 2023 løber f.eks. fra 1. februar 2023 til 31. januar 2024, vil den foreslåede lagerbeskatning således gælde fra 1. februar 2023, hvis betingelserne for lagerbeskatning er opfyldt i indkomståret 2023.</w:t>
      </w:r>
    </w:p>
    <w:p w14:paraId="7BE525CC" w14:textId="561DBCC3" w:rsidR="00BF4DFF" w:rsidRPr="00815B3E" w:rsidRDefault="00BF4DFF" w:rsidP="007E42A5">
      <w:pPr>
        <w:spacing w:after="240"/>
        <w:rPr>
          <w:rFonts w:cs="Times New Roman"/>
          <w:color w:val="000000" w:themeColor="text1"/>
          <w:szCs w:val="24"/>
        </w:rPr>
      </w:pPr>
      <w:r w:rsidRPr="00815B3E">
        <w:rPr>
          <w:rFonts w:cs="Times New Roman"/>
          <w:color w:val="000000" w:themeColor="text1"/>
          <w:szCs w:val="24"/>
        </w:rPr>
        <w:t xml:space="preserve">For selskaber, hvis indkomstår 2023 løber fra f.eks. 1. oktober 2022 til 30. september 2023, vil den foreslåede lagerbeskatning først gælde fra indkomståret 2024, der for dette selskab påbegynder den 1. oktober 2023. </w:t>
      </w:r>
    </w:p>
    <w:p w14:paraId="41AA4A52" w14:textId="7BDE9F5B" w:rsidR="00BF4DFF" w:rsidRDefault="00BF4DFF">
      <w:pPr>
        <w:spacing w:after="240"/>
        <w:rPr>
          <w:rFonts w:eastAsia="Calibri" w:cs="Times New Roman"/>
          <w:color w:val="000000" w:themeColor="text1"/>
          <w:szCs w:val="24"/>
        </w:rPr>
      </w:pPr>
      <w:r w:rsidRPr="00815B3E">
        <w:rPr>
          <w:rFonts w:eastAsia="Calibri" w:cs="Times New Roman"/>
          <w:color w:val="000000" w:themeColor="text1"/>
          <w:szCs w:val="24"/>
        </w:rPr>
        <w:t xml:space="preserve">For selskaber, der følger kalenderåret, og som omfattes af den foreslåede lagerbeskatning fra og med den 1. januar 2023, vil det indebære, at selskabet første gang skal fastsætte en indgangsværdi </w:t>
      </w:r>
      <w:r w:rsidR="001009DF" w:rsidRPr="00815B3E">
        <w:rPr>
          <w:rFonts w:eastAsia="Calibri" w:cs="Times New Roman"/>
          <w:color w:val="000000" w:themeColor="text1"/>
          <w:szCs w:val="24"/>
        </w:rPr>
        <w:t>pr. 1. januar 2023 på grundlag af værdien af selskabets ejendomme pr. 31. december 2022.</w:t>
      </w:r>
    </w:p>
    <w:p w14:paraId="26945B40" w14:textId="5D4E90DB" w:rsidR="005339F8" w:rsidRPr="00815B3E" w:rsidRDefault="005339F8">
      <w:pPr>
        <w:spacing w:after="240"/>
        <w:rPr>
          <w:rFonts w:eastAsia="Calibri" w:cs="Times New Roman"/>
          <w:color w:val="000000" w:themeColor="text1"/>
          <w:szCs w:val="24"/>
        </w:rPr>
      </w:pPr>
      <w:r w:rsidRPr="005339F8">
        <w:rPr>
          <w:rFonts w:eastAsia="Calibri" w:cs="Times New Roman"/>
          <w:color w:val="000000" w:themeColor="text1"/>
          <w:szCs w:val="24"/>
        </w:rPr>
        <w:t>Loven gælder hverken for Færøerne eller Grønland, fordi de love, der æn</w:t>
      </w:r>
      <w:r>
        <w:rPr>
          <w:rFonts w:eastAsia="Calibri" w:cs="Times New Roman"/>
          <w:color w:val="000000" w:themeColor="text1"/>
          <w:szCs w:val="24"/>
        </w:rPr>
        <w:t xml:space="preserve">dres, </w:t>
      </w:r>
      <w:r w:rsidRPr="005339F8">
        <w:rPr>
          <w:rFonts w:eastAsia="Calibri" w:cs="Times New Roman"/>
          <w:color w:val="000000" w:themeColor="text1"/>
          <w:szCs w:val="24"/>
        </w:rPr>
        <w:t>ikke gælder for Færøerne eller Grønland og ikke indeholder en hjemmel til at sætte lovene i kraft for Færøerne eller Grønland.</w:t>
      </w:r>
    </w:p>
    <w:p w14:paraId="6042127A" w14:textId="77777777" w:rsidR="00E909DA" w:rsidRPr="00815B3E" w:rsidRDefault="00E909DA" w:rsidP="00E909DA">
      <w:pPr>
        <w:pageBreakBefore/>
        <w:spacing w:after="240"/>
        <w:contextualSpacing/>
        <w:mirrorIndents/>
        <w:jc w:val="right"/>
        <w:rPr>
          <w:b/>
          <w:color w:val="000000" w:themeColor="text1"/>
        </w:rPr>
      </w:pPr>
      <w:r w:rsidRPr="00815B3E">
        <w:rPr>
          <w:b/>
          <w:color w:val="000000" w:themeColor="text1"/>
        </w:rPr>
        <w:lastRenderedPageBreak/>
        <w:t>Bilag 1</w:t>
      </w:r>
    </w:p>
    <w:p w14:paraId="61CBBDD7" w14:textId="77777777" w:rsidR="00E909DA" w:rsidRPr="00815B3E" w:rsidRDefault="00E909DA" w:rsidP="00E909DA">
      <w:pPr>
        <w:spacing w:after="240"/>
        <w:contextualSpacing/>
        <w:mirrorIndents/>
        <w:rPr>
          <w:color w:val="000000" w:themeColor="text1"/>
        </w:rPr>
      </w:pPr>
    </w:p>
    <w:p w14:paraId="603ED40B" w14:textId="77777777" w:rsidR="00E909DA" w:rsidRPr="00815B3E" w:rsidRDefault="00E909DA" w:rsidP="00E909DA">
      <w:pPr>
        <w:spacing w:after="240"/>
        <w:contextualSpacing/>
        <w:mirrorIndents/>
        <w:jc w:val="center"/>
        <w:rPr>
          <w:b/>
          <w:color w:val="000000" w:themeColor="text1"/>
        </w:rPr>
      </w:pPr>
      <w:r w:rsidRPr="00815B3E">
        <w:rPr>
          <w:b/>
          <w:color w:val="000000" w:themeColor="text1"/>
        </w:rPr>
        <w:t>Lovforslaget sammenholdt med gældende lov</w:t>
      </w:r>
    </w:p>
    <w:p w14:paraId="65599C43" w14:textId="77777777" w:rsidR="00E909DA" w:rsidRPr="00815B3E" w:rsidRDefault="00E909DA" w:rsidP="00E909DA">
      <w:pPr>
        <w:spacing w:after="240"/>
        <w:rPr>
          <w:rFonts w:cs="Times New Roman"/>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10"/>
        <w:gridCol w:w="3608"/>
      </w:tblGrid>
      <w:tr w:rsidR="00E909DA" w:rsidRPr="00815B3E" w14:paraId="247C20E2" w14:textId="77777777" w:rsidTr="00613864">
        <w:tc>
          <w:tcPr>
            <w:tcW w:w="3610" w:type="dxa"/>
          </w:tcPr>
          <w:p w14:paraId="39CC9041" w14:textId="77777777" w:rsidR="00E909DA" w:rsidRPr="00815B3E" w:rsidRDefault="00E909DA" w:rsidP="00613864">
            <w:pPr>
              <w:spacing w:after="240"/>
              <w:contextualSpacing/>
              <w:mirrorIndents/>
              <w:jc w:val="center"/>
              <w:rPr>
                <w:rFonts w:cs="Times New Roman"/>
                <w:i/>
                <w:color w:val="000000" w:themeColor="text1"/>
                <w:szCs w:val="24"/>
              </w:rPr>
            </w:pPr>
            <w:r w:rsidRPr="00815B3E">
              <w:rPr>
                <w:rFonts w:cs="Times New Roman"/>
                <w:i/>
                <w:color w:val="000000" w:themeColor="text1"/>
                <w:szCs w:val="24"/>
              </w:rPr>
              <w:t>Gældende formulering</w:t>
            </w:r>
          </w:p>
        </w:tc>
        <w:tc>
          <w:tcPr>
            <w:tcW w:w="3608" w:type="dxa"/>
          </w:tcPr>
          <w:p w14:paraId="77C6E640" w14:textId="77777777" w:rsidR="00E909DA" w:rsidRPr="00815B3E" w:rsidRDefault="00E909DA" w:rsidP="00613864">
            <w:pPr>
              <w:spacing w:after="240"/>
              <w:contextualSpacing/>
              <w:mirrorIndents/>
              <w:jc w:val="center"/>
              <w:rPr>
                <w:rFonts w:cs="Times New Roman"/>
                <w:i/>
                <w:color w:val="000000" w:themeColor="text1"/>
                <w:szCs w:val="24"/>
              </w:rPr>
            </w:pPr>
            <w:r w:rsidRPr="00815B3E">
              <w:rPr>
                <w:rFonts w:cs="Times New Roman"/>
                <w:i/>
                <w:color w:val="000000" w:themeColor="text1"/>
                <w:szCs w:val="24"/>
              </w:rPr>
              <w:t>Lovforslaget</w:t>
            </w:r>
          </w:p>
        </w:tc>
      </w:tr>
      <w:tr w:rsidR="00E909DA" w:rsidRPr="00815B3E" w14:paraId="3C7FACF7" w14:textId="77777777" w:rsidTr="00613864">
        <w:tc>
          <w:tcPr>
            <w:tcW w:w="3610" w:type="dxa"/>
          </w:tcPr>
          <w:p w14:paraId="49064CDA" w14:textId="77777777" w:rsidR="00E909DA" w:rsidRPr="00815B3E" w:rsidRDefault="00E909DA" w:rsidP="00613864">
            <w:pPr>
              <w:spacing w:after="240"/>
              <w:contextualSpacing/>
              <w:mirrorIndents/>
              <w:jc w:val="center"/>
              <w:rPr>
                <w:rFonts w:cs="Times New Roman"/>
                <w:i/>
                <w:color w:val="000000" w:themeColor="text1"/>
                <w:szCs w:val="24"/>
              </w:rPr>
            </w:pPr>
          </w:p>
        </w:tc>
        <w:tc>
          <w:tcPr>
            <w:tcW w:w="3608" w:type="dxa"/>
          </w:tcPr>
          <w:p w14:paraId="11BF1D5E" w14:textId="77777777" w:rsidR="00E909DA" w:rsidRPr="00815B3E" w:rsidRDefault="00E909DA" w:rsidP="00613864">
            <w:pPr>
              <w:spacing w:after="240"/>
              <w:contextualSpacing/>
              <w:mirrorIndents/>
              <w:jc w:val="center"/>
              <w:rPr>
                <w:rFonts w:cs="Times New Roman"/>
                <w:color w:val="000000" w:themeColor="text1"/>
                <w:szCs w:val="24"/>
              </w:rPr>
            </w:pPr>
          </w:p>
          <w:p w14:paraId="6BD64E47" w14:textId="77777777" w:rsidR="00E909DA" w:rsidRPr="00815B3E" w:rsidRDefault="00E909DA" w:rsidP="00613864">
            <w:pPr>
              <w:spacing w:after="240"/>
              <w:contextualSpacing/>
              <w:mirrorIndents/>
              <w:jc w:val="center"/>
              <w:rPr>
                <w:rFonts w:cs="Times New Roman"/>
                <w:b/>
                <w:color w:val="000000" w:themeColor="text1"/>
                <w:szCs w:val="24"/>
              </w:rPr>
            </w:pPr>
            <w:r w:rsidRPr="00815B3E">
              <w:rPr>
                <w:rFonts w:cs="Times New Roman"/>
                <w:b/>
                <w:color w:val="000000" w:themeColor="text1"/>
                <w:szCs w:val="24"/>
              </w:rPr>
              <w:t>§ 1</w:t>
            </w:r>
          </w:p>
          <w:p w14:paraId="45B4F6D7" w14:textId="77777777" w:rsidR="00E909DA" w:rsidRDefault="0063510D" w:rsidP="0063510D">
            <w:pPr>
              <w:rPr>
                <w:rFonts w:eastAsia="Calibri" w:cs="Times New Roman"/>
                <w:color w:val="000000" w:themeColor="text1"/>
                <w:szCs w:val="24"/>
              </w:rPr>
            </w:pPr>
            <w:r w:rsidRPr="00815B3E">
              <w:rPr>
                <w:rFonts w:eastAsia="Calibri" w:cs="Times New Roman"/>
                <w:color w:val="000000" w:themeColor="text1"/>
                <w:szCs w:val="24"/>
              </w:rPr>
              <w:t xml:space="preserve">I </w:t>
            </w:r>
            <w:r>
              <w:rPr>
                <w:rFonts w:eastAsia="Calibri" w:cs="Times New Roman"/>
                <w:color w:val="000000" w:themeColor="text1"/>
                <w:szCs w:val="24"/>
              </w:rPr>
              <w:t>lov om beskatning af fortjeneste ved afståelse af fast ejendom</w:t>
            </w:r>
            <w:r w:rsidRPr="00815B3E">
              <w:rPr>
                <w:rFonts w:eastAsia="Calibri" w:cs="Times New Roman"/>
                <w:color w:val="000000" w:themeColor="text1"/>
                <w:szCs w:val="24"/>
              </w:rPr>
              <w:t xml:space="preserve">, jf. lovbekendtgørelse nr. 132 af 25. januar 2019, som ændret ved </w:t>
            </w:r>
            <w:r>
              <w:rPr>
                <w:rFonts w:eastAsia="Calibri" w:cs="Times New Roman"/>
                <w:color w:val="000000" w:themeColor="text1"/>
                <w:szCs w:val="24"/>
              </w:rPr>
              <w:t>§ 1 i</w:t>
            </w:r>
            <w:r w:rsidRPr="00815B3E">
              <w:rPr>
                <w:rFonts w:eastAsia="Calibri" w:cs="Times New Roman"/>
                <w:color w:val="000000" w:themeColor="text1"/>
                <w:szCs w:val="24"/>
              </w:rPr>
              <w:t xml:space="preserve"> lov nr. </w:t>
            </w:r>
            <w:r>
              <w:rPr>
                <w:rFonts w:eastAsia="Calibri" w:cs="Times New Roman"/>
                <w:color w:val="000000" w:themeColor="text1"/>
                <w:szCs w:val="24"/>
              </w:rPr>
              <w:t xml:space="preserve">1578 </w:t>
            </w:r>
            <w:r w:rsidRPr="00815B3E">
              <w:rPr>
                <w:rFonts w:eastAsia="Calibri" w:cs="Times New Roman"/>
                <w:color w:val="000000" w:themeColor="text1"/>
                <w:szCs w:val="24"/>
              </w:rPr>
              <w:t xml:space="preserve">af </w:t>
            </w:r>
            <w:r>
              <w:rPr>
                <w:rFonts w:eastAsia="Calibri" w:cs="Times New Roman"/>
                <w:color w:val="000000" w:themeColor="text1"/>
                <w:szCs w:val="24"/>
              </w:rPr>
              <w:t>27. december 2019 og § 2 i lov nr. 1580 af 27. december 2019,</w:t>
            </w:r>
            <w:r w:rsidRPr="00815B3E">
              <w:rPr>
                <w:rFonts w:eastAsia="Calibri" w:cs="Times New Roman"/>
                <w:color w:val="000000" w:themeColor="text1"/>
                <w:szCs w:val="24"/>
              </w:rPr>
              <w:t xml:space="preserve"> foretages følgende ændringer:</w:t>
            </w:r>
          </w:p>
          <w:p w14:paraId="05878ED8" w14:textId="1C6765B1" w:rsidR="0063510D" w:rsidRPr="00255CB9" w:rsidRDefault="0063510D" w:rsidP="00255CB9">
            <w:pPr>
              <w:rPr>
                <w:rFonts w:eastAsia="Calibri" w:cs="Times New Roman"/>
                <w:color w:val="000000" w:themeColor="text1"/>
                <w:szCs w:val="24"/>
              </w:rPr>
            </w:pPr>
          </w:p>
        </w:tc>
      </w:tr>
      <w:tr w:rsidR="00E909DA" w:rsidRPr="00815B3E" w14:paraId="2A228AA6" w14:textId="77777777" w:rsidTr="00613864">
        <w:tc>
          <w:tcPr>
            <w:tcW w:w="3610" w:type="dxa"/>
          </w:tcPr>
          <w:p w14:paraId="6FBEEC6F" w14:textId="77777777" w:rsidR="00F90CAD" w:rsidRDefault="00F90CAD" w:rsidP="00613864">
            <w:pPr>
              <w:spacing w:after="240"/>
              <w:contextualSpacing/>
              <w:mirrorIndents/>
              <w:rPr>
                <w:rFonts w:cs="Times New Roman"/>
                <w:b/>
                <w:color w:val="000000" w:themeColor="text1"/>
                <w:szCs w:val="24"/>
              </w:rPr>
            </w:pPr>
          </w:p>
          <w:p w14:paraId="7908CA8E" w14:textId="7176A5AE" w:rsidR="00E909DA" w:rsidRPr="00815B3E" w:rsidRDefault="00F90CAD" w:rsidP="00255CB9">
            <w:pPr>
              <w:spacing w:after="240"/>
              <w:contextualSpacing/>
              <w:mirrorIndents/>
              <w:jc w:val="center"/>
              <w:rPr>
                <w:rFonts w:cs="Times New Roman"/>
                <w:color w:val="000000" w:themeColor="text1"/>
                <w:szCs w:val="24"/>
              </w:rPr>
            </w:pPr>
            <w:r>
              <w:rPr>
                <w:rFonts w:cs="Times New Roman"/>
                <w:b/>
                <w:color w:val="000000" w:themeColor="text1"/>
                <w:szCs w:val="24"/>
              </w:rPr>
              <w:t>L</w:t>
            </w:r>
            <w:r w:rsidRPr="00F90CAD">
              <w:rPr>
                <w:rFonts w:cs="Times New Roman"/>
                <w:b/>
                <w:color w:val="000000" w:themeColor="text1"/>
                <w:szCs w:val="24"/>
              </w:rPr>
              <w:t>ov om beskatning af fortjeneste ved afståelse af fast ejendom</w:t>
            </w:r>
          </w:p>
        </w:tc>
        <w:tc>
          <w:tcPr>
            <w:tcW w:w="3608" w:type="dxa"/>
          </w:tcPr>
          <w:p w14:paraId="305978CA" w14:textId="0A8151A4" w:rsidR="0063510D" w:rsidRDefault="00E909DA" w:rsidP="0063510D">
            <w:pPr>
              <w:rPr>
                <w:rFonts w:cs="Times New Roman"/>
                <w:bCs/>
                <w:color w:val="000000" w:themeColor="text1"/>
                <w:szCs w:val="24"/>
              </w:rPr>
            </w:pPr>
            <w:r w:rsidRPr="00815B3E">
              <w:rPr>
                <w:rFonts w:eastAsia="Calibri" w:cs="Times New Roman"/>
                <w:b/>
                <w:color w:val="000000" w:themeColor="text1"/>
                <w:szCs w:val="24"/>
              </w:rPr>
              <w:t>1</w:t>
            </w:r>
            <w:r w:rsidR="00F90CAD">
              <w:rPr>
                <w:rFonts w:eastAsia="Calibri" w:cs="Times New Roman"/>
                <w:b/>
                <w:color w:val="000000" w:themeColor="text1"/>
                <w:szCs w:val="24"/>
              </w:rPr>
              <w:t>.</w:t>
            </w:r>
            <w:r w:rsidR="0063510D">
              <w:rPr>
                <w:rFonts w:cs="Times New Roman"/>
                <w:bCs/>
                <w:color w:val="000000" w:themeColor="text1"/>
                <w:szCs w:val="24"/>
              </w:rPr>
              <w:t xml:space="preserve"> L</w:t>
            </w:r>
            <w:r w:rsidR="0063510D" w:rsidRPr="00815B3E">
              <w:rPr>
                <w:rFonts w:cs="Times New Roman"/>
                <w:bCs/>
                <w:color w:val="000000" w:themeColor="text1"/>
                <w:szCs w:val="24"/>
              </w:rPr>
              <w:t xml:space="preserve">ovens </w:t>
            </w:r>
            <w:r w:rsidR="0063510D" w:rsidRPr="00613864">
              <w:rPr>
                <w:rFonts w:cs="Times New Roman"/>
                <w:bCs/>
                <w:i/>
                <w:iCs/>
                <w:color w:val="000000" w:themeColor="text1"/>
                <w:szCs w:val="24"/>
              </w:rPr>
              <w:t xml:space="preserve">titel </w:t>
            </w:r>
            <w:r w:rsidR="0063510D">
              <w:rPr>
                <w:rFonts w:cs="Times New Roman"/>
                <w:bCs/>
                <w:color w:val="000000" w:themeColor="text1"/>
                <w:szCs w:val="24"/>
              </w:rPr>
              <w:t>affattes således:</w:t>
            </w:r>
            <w:r w:rsidR="0063510D">
              <w:rPr>
                <w:rFonts w:cs="Times New Roman"/>
                <w:bCs/>
                <w:color w:val="000000" w:themeColor="text1"/>
                <w:szCs w:val="24"/>
              </w:rPr>
              <w:br/>
            </w:r>
          </w:p>
          <w:p w14:paraId="737B9846" w14:textId="3980B68E" w:rsidR="0063510D" w:rsidRPr="00613864" w:rsidRDefault="0063510D" w:rsidP="0063510D">
            <w:pPr>
              <w:jc w:val="center"/>
              <w:rPr>
                <w:rFonts w:cs="Times New Roman"/>
                <w:b/>
                <w:color w:val="000000" w:themeColor="text1"/>
                <w:szCs w:val="24"/>
              </w:rPr>
            </w:pPr>
            <w:r w:rsidRPr="00613864">
              <w:rPr>
                <w:rFonts w:cs="Times New Roman"/>
                <w:b/>
                <w:color w:val="000000" w:themeColor="text1"/>
                <w:szCs w:val="24"/>
              </w:rPr>
              <w:t>”Lov om beskatning af fortjeneste på fast ejendom (</w:t>
            </w:r>
            <w:r w:rsidR="004A1FD1">
              <w:rPr>
                <w:rFonts w:cs="Times New Roman"/>
                <w:b/>
                <w:color w:val="000000" w:themeColor="text1"/>
                <w:szCs w:val="24"/>
              </w:rPr>
              <w:t>e</w:t>
            </w:r>
            <w:r w:rsidRPr="00613864">
              <w:rPr>
                <w:rFonts w:cs="Times New Roman"/>
                <w:b/>
                <w:color w:val="000000" w:themeColor="text1"/>
                <w:szCs w:val="24"/>
              </w:rPr>
              <w:t>jendomsavancebeskatningsloven)”.</w:t>
            </w:r>
          </w:p>
          <w:p w14:paraId="44772711" w14:textId="678DACCA" w:rsidR="00E909DA" w:rsidRPr="00815B3E" w:rsidRDefault="00E909DA" w:rsidP="00613864">
            <w:pPr>
              <w:spacing w:after="240"/>
              <w:rPr>
                <w:rFonts w:eastAsia="Calibri" w:cs="Times New Roman"/>
                <w:color w:val="000000" w:themeColor="text1"/>
                <w:szCs w:val="24"/>
              </w:rPr>
            </w:pPr>
          </w:p>
        </w:tc>
      </w:tr>
      <w:tr w:rsidR="00E909DA" w:rsidRPr="00815B3E" w14:paraId="481A8F71" w14:textId="77777777" w:rsidTr="00613864">
        <w:tc>
          <w:tcPr>
            <w:tcW w:w="3610" w:type="dxa"/>
          </w:tcPr>
          <w:p w14:paraId="0A2DC31F" w14:textId="77777777" w:rsidR="00E909DA" w:rsidRPr="00815B3E" w:rsidRDefault="00E909DA" w:rsidP="00613864">
            <w:pPr>
              <w:spacing w:after="240"/>
              <w:contextualSpacing/>
              <w:mirrorIndents/>
              <w:rPr>
                <w:rFonts w:cs="Times New Roman"/>
                <w:color w:val="000000" w:themeColor="text1"/>
                <w:szCs w:val="24"/>
              </w:rPr>
            </w:pPr>
          </w:p>
        </w:tc>
        <w:tc>
          <w:tcPr>
            <w:tcW w:w="3608" w:type="dxa"/>
          </w:tcPr>
          <w:p w14:paraId="0F9B97F2" w14:textId="77777777" w:rsidR="00F90CAD" w:rsidRPr="00815B3E" w:rsidRDefault="00F90CAD" w:rsidP="00F90CAD">
            <w:pPr>
              <w:rPr>
                <w:rFonts w:cs="Times New Roman"/>
                <w:b/>
                <w:bCs/>
                <w:color w:val="000000" w:themeColor="text1"/>
                <w:szCs w:val="24"/>
              </w:rPr>
            </w:pPr>
            <w:r w:rsidRPr="00815B3E">
              <w:rPr>
                <w:rFonts w:cs="Times New Roman"/>
                <w:b/>
                <w:color w:val="000000" w:themeColor="text1"/>
                <w:szCs w:val="24"/>
              </w:rPr>
              <w:t>2.</w:t>
            </w:r>
            <w:r w:rsidRPr="00815B3E">
              <w:rPr>
                <w:rFonts w:cs="Times New Roman"/>
                <w:b/>
                <w:bCs/>
                <w:color w:val="000000" w:themeColor="text1"/>
                <w:szCs w:val="24"/>
              </w:rPr>
              <w:t xml:space="preserve"> </w:t>
            </w:r>
            <w:r w:rsidRPr="00815B3E">
              <w:rPr>
                <w:rFonts w:cs="Times New Roman"/>
                <w:color w:val="000000" w:themeColor="text1"/>
                <w:szCs w:val="24"/>
              </w:rPr>
              <w:t>Før § 1 indsættes som overskrift:</w:t>
            </w:r>
          </w:p>
          <w:p w14:paraId="5F20CC52" w14:textId="77777777" w:rsidR="00F90CAD" w:rsidRPr="00815B3E" w:rsidRDefault="00F90CAD" w:rsidP="00F90CAD">
            <w:pPr>
              <w:rPr>
                <w:rFonts w:cs="Times New Roman"/>
                <w:b/>
                <w:bCs/>
                <w:color w:val="000000" w:themeColor="text1"/>
                <w:szCs w:val="24"/>
              </w:rPr>
            </w:pPr>
          </w:p>
          <w:p w14:paraId="084B427B" w14:textId="77777777" w:rsidR="00F90CAD" w:rsidRPr="00613864" w:rsidRDefault="00F90CAD" w:rsidP="00F90CAD">
            <w:pPr>
              <w:jc w:val="center"/>
              <w:rPr>
                <w:rFonts w:eastAsia="Calibri" w:cs="Times New Roman"/>
                <w:bCs/>
                <w:i/>
                <w:iCs/>
                <w:color w:val="000000" w:themeColor="text1"/>
                <w:szCs w:val="24"/>
              </w:rPr>
            </w:pPr>
            <w:r w:rsidRPr="00613864">
              <w:rPr>
                <w:rFonts w:eastAsia="Calibri" w:cs="Times New Roman"/>
                <w:bCs/>
                <w:i/>
                <w:iCs/>
                <w:color w:val="000000" w:themeColor="text1"/>
                <w:szCs w:val="24"/>
              </w:rPr>
              <w:t>»Kapitel 1.</w:t>
            </w:r>
          </w:p>
          <w:p w14:paraId="4A42103F" w14:textId="77777777" w:rsidR="00F90CAD" w:rsidRPr="00613864" w:rsidRDefault="00F90CAD" w:rsidP="00F90CAD">
            <w:pPr>
              <w:jc w:val="center"/>
              <w:rPr>
                <w:rFonts w:eastAsia="Calibri" w:cs="Times New Roman"/>
                <w:bCs/>
                <w:i/>
                <w:iCs/>
                <w:color w:val="000000" w:themeColor="text1"/>
                <w:szCs w:val="24"/>
              </w:rPr>
            </w:pPr>
          </w:p>
          <w:p w14:paraId="63761721" w14:textId="77777777" w:rsidR="00F90CAD" w:rsidRPr="00613864" w:rsidRDefault="00F90CAD" w:rsidP="00F90CAD">
            <w:pPr>
              <w:jc w:val="center"/>
              <w:rPr>
                <w:rFonts w:cs="Times New Roman"/>
                <w:bCs/>
                <w:i/>
                <w:iCs/>
                <w:color w:val="000000" w:themeColor="text1"/>
                <w:szCs w:val="24"/>
              </w:rPr>
            </w:pPr>
            <w:r w:rsidRPr="00613864">
              <w:rPr>
                <w:rFonts w:eastAsia="Calibri" w:cs="Times New Roman"/>
                <w:bCs/>
                <w:i/>
                <w:iCs/>
                <w:color w:val="000000" w:themeColor="text1"/>
                <w:szCs w:val="24"/>
              </w:rPr>
              <w:t>Lovens anvendelsesområde</w:t>
            </w:r>
            <w:r w:rsidRPr="00613864">
              <w:rPr>
                <w:rFonts w:cs="Times New Roman"/>
                <w:bCs/>
                <w:i/>
                <w:iCs/>
                <w:color w:val="000000" w:themeColor="text1"/>
                <w:szCs w:val="24"/>
              </w:rPr>
              <w:t>«</w:t>
            </w:r>
            <w:r>
              <w:rPr>
                <w:rFonts w:cs="Times New Roman"/>
                <w:bCs/>
                <w:i/>
                <w:iCs/>
                <w:color w:val="000000" w:themeColor="text1"/>
                <w:szCs w:val="24"/>
              </w:rPr>
              <w:t>.</w:t>
            </w:r>
          </w:p>
          <w:p w14:paraId="18A33450" w14:textId="2228BB06" w:rsidR="00E909DA" w:rsidRPr="00815B3E" w:rsidRDefault="00E909DA" w:rsidP="00613864">
            <w:pPr>
              <w:spacing w:after="240"/>
              <w:contextualSpacing/>
              <w:mirrorIndents/>
              <w:rPr>
                <w:rFonts w:cs="Times New Roman"/>
                <w:b/>
                <w:color w:val="000000" w:themeColor="text1"/>
                <w:szCs w:val="24"/>
              </w:rPr>
            </w:pPr>
          </w:p>
        </w:tc>
      </w:tr>
      <w:tr w:rsidR="00E909DA" w:rsidRPr="00815B3E" w14:paraId="0836A483" w14:textId="77777777" w:rsidTr="00613864">
        <w:trPr>
          <w:trHeight w:val="280"/>
        </w:trPr>
        <w:tc>
          <w:tcPr>
            <w:tcW w:w="3610" w:type="dxa"/>
          </w:tcPr>
          <w:p w14:paraId="69AD91D6" w14:textId="77777777" w:rsidR="00F90CAD" w:rsidRPr="00F90CAD" w:rsidRDefault="00F90CAD" w:rsidP="00F90CAD">
            <w:pPr>
              <w:spacing w:after="240"/>
              <w:contextualSpacing/>
              <w:mirrorIndents/>
              <w:rPr>
                <w:rFonts w:cs="Times New Roman"/>
                <w:color w:val="000000" w:themeColor="text1"/>
                <w:szCs w:val="24"/>
              </w:rPr>
            </w:pPr>
            <w:r w:rsidRPr="00255CB9">
              <w:rPr>
                <w:rFonts w:cs="Times New Roman"/>
                <w:b/>
                <w:bCs/>
                <w:color w:val="000000" w:themeColor="text1"/>
                <w:szCs w:val="24"/>
              </w:rPr>
              <w:t>§ 1.</w:t>
            </w:r>
            <w:r w:rsidRPr="00F90CAD">
              <w:rPr>
                <w:rFonts w:cs="Times New Roman"/>
                <w:color w:val="000000" w:themeColor="text1"/>
                <w:szCs w:val="24"/>
              </w:rPr>
              <w:t xml:space="preserve"> Fortjeneste ved afståelse af fast ejendom medregnes til den skattepligtige indkomst efter reglerne i denne lov.</w:t>
            </w:r>
          </w:p>
          <w:p w14:paraId="3DFDCC99" w14:textId="730ECDC3" w:rsidR="00E909DA" w:rsidRPr="00815B3E" w:rsidRDefault="00F90CAD" w:rsidP="00F90CAD">
            <w:pPr>
              <w:spacing w:after="240"/>
              <w:contextualSpacing/>
              <w:mirrorIndents/>
              <w:rPr>
                <w:rFonts w:cs="Times New Roman"/>
                <w:color w:val="000000" w:themeColor="text1"/>
                <w:szCs w:val="24"/>
              </w:rPr>
            </w:pPr>
            <w:r w:rsidRPr="00F90CAD">
              <w:rPr>
                <w:rFonts w:cs="Times New Roman"/>
                <w:color w:val="000000" w:themeColor="text1"/>
                <w:szCs w:val="24"/>
              </w:rPr>
              <w:t>Stk. 2. Loven gælder ikke for fortjeneste eller tab ved afståelse af fast ejendom, der er erhvervet som led i den skattepligtiges næringsvej.</w:t>
            </w:r>
          </w:p>
        </w:tc>
        <w:tc>
          <w:tcPr>
            <w:tcW w:w="3608" w:type="dxa"/>
          </w:tcPr>
          <w:p w14:paraId="04308932" w14:textId="77777777" w:rsidR="00F90CAD" w:rsidRPr="00815B3E" w:rsidRDefault="00F90CAD" w:rsidP="00F90CAD">
            <w:pPr>
              <w:rPr>
                <w:rFonts w:cs="Times New Roman"/>
                <w:bCs/>
                <w:color w:val="000000" w:themeColor="text1"/>
                <w:szCs w:val="24"/>
              </w:rPr>
            </w:pPr>
            <w:r w:rsidRPr="00815B3E">
              <w:rPr>
                <w:rFonts w:cs="Times New Roman"/>
                <w:b/>
                <w:color w:val="000000" w:themeColor="text1"/>
                <w:szCs w:val="24"/>
              </w:rPr>
              <w:t xml:space="preserve">3. </w:t>
            </w:r>
            <w:r w:rsidRPr="00815B3E">
              <w:rPr>
                <w:rFonts w:cs="Times New Roman"/>
                <w:bCs/>
                <w:i/>
                <w:iCs/>
                <w:color w:val="000000" w:themeColor="text1"/>
                <w:szCs w:val="24"/>
              </w:rPr>
              <w:t>§ 1</w:t>
            </w:r>
            <w:r w:rsidRPr="00815B3E">
              <w:rPr>
                <w:rFonts w:cs="Times New Roman"/>
                <w:bCs/>
                <w:color w:val="000000" w:themeColor="text1"/>
                <w:szCs w:val="24"/>
              </w:rPr>
              <w:t xml:space="preserve"> affattes således:</w:t>
            </w:r>
          </w:p>
          <w:p w14:paraId="550BFAAF" w14:textId="77777777" w:rsidR="00F90CAD" w:rsidRPr="00815B3E" w:rsidRDefault="00F90CAD" w:rsidP="00F90CAD">
            <w:pPr>
              <w:rPr>
                <w:rFonts w:cs="Times New Roman"/>
                <w:bCs/>
                <w:color w:val="000000" w:themeColor="text1"/>
                <w:szCs w:val="24"/>
              </w:rPr>
            </w:pPr>
            <w:r w:rsidRPr="00815B3E">
              <w:rPr>
                <w:rFonts w:cs="Times New Roman"/>
                <w:bCs/>
                <w:color w:val="000000" w:themeColor="text1"/>
                <w:szCs w:val="24"/>
              </w:rPr>
              <w:t>”</w:t>
            </w:r>
            <w:r w:rsidRPr="00613864">
              <w:rPr>
                <w:rFonts w:cs="Times New Roman"/>
                <w:b/>
                <w:color w:val="000000" w:themeColor="text1"/>
                <w:szCs w:val="24"/>
              </w:rPr>
              <w:t>§ 1.</w:t>
            </w:r>
            <w:r w:rsidRPr="00815B3E">
              <w:rPr>
                <w:rFonts w:cs="Times New Roman"/>
                <w:bCs/>
                <w:color w:val="000000" w:themeColor="text1"/>
                <w:szCs w:val="24"/>
              </w:rPr>
              <w:t xml:space="preserve"> Fortjeneste på realisationsbeskattede ejendomme bortset fra ejendomme, der er erhvervet som led i den skattepligtiges næringsvej, medregnes </w:t>
            </w:r>
            <w:r>
              <w:rPr>
                <w:rFonts w:cs="Times New Roman"/>
                <w:bCs/>
                <w:color w:val="000000" w:themeColor="text1"/>
                <w:szCs w:val="24"/>
              </w:rPr>
              <w:t xml:space="preserve">ved opgørelsen af </w:t>
            </w:r>
            <w:r w:rsidRPr="00815B3E">
              <w:rPr>
                <w:rFonts w:cs="Times New Roman"/>
                <w:bCs/>
                <w:color w:val="000000" w:themeColor="text1"/>
                <w:szCs w:val="24"/>
              </w:rPr>
              <w:t xml:space="preserve">den skattepligtige indkomst efter reglerne i kapitel 2. Realisationsbeskattede ejendomme er faste ejendomme, der ikke lagerbeskattes. </w:t>
            </w:r>
          </w:p>
          <w:p w14:paraId="4C9EEEA9" w14:textId="2F035276" w:rsidR="00E909DA" w:rsidRPr="00255CB9" w:rsidRDefault="00F90CAD" w:rsidP="00255CB9">
            <w:pPr>
              <w:rPr>
                <w:color w:val="000000" w:themeColor="text1"/>
              </w:rPr>
            </w:pPr>
            <w:r w:rsidRPr="00815B3E">
              <w:rPr>
                <w:rFonts w:cs="Times New Roman"/>
                <w:bCs/>
                <w:i/>
                <w:iCs/>
                <w:color w:val="000000" w:themeColor="text1"/>
                <w:szCs w:val="24"/>
              </w:rPr>
              <w:lastRenderedPageBreak/>
              <w:t>Stk. 2.</w:t>
            </w:r>
            <w:r w:rsidRPr="00815B3E">
              <w:rPr>
                <w:rFonts w:cs="Times New Roman"/>
                <w:bCs/>
                <w:color w:val="000000" w:themeColor="text1"/>
                <w:szCs w:val="24"/>
              </w:rPr>
              <w:t xml:space="preserve"> Fortjeneste og tab på lagerbeskattede ejendomme medregnes til den skattepligtige indkomst efter reglerne i kapitel 3.</w:t>
            </w:r>
            <w:r w:rsidRPr="00815B3E">
              <w:rPr>
                <w:color w:val="000000" w:themeColor="text1"/>
              </w:rPr>
              <w:t>”</w:t>
            </w:r>
          </w:p>
        </w:tc>
      </w:tr>
      <w:tr w:rsidR="00F90CAD" w:rsidRPr="00815B3E" w14:paraId="4253D739" w14:textId="77777777" w:rsidTr="00613864">
        <w:tc>
          <w:tcPr>
            <w:tcW w:w="3610" w:type="dxa"/>
          </w:tcPr>
          <w:p w14:paraId="273DAE0C" w14:textId="5DEFC363" w:rsidR="00F90CAD" w:rsidRPr="00815B3E" w:rsidRDefault="00F90CAD" w:rsidP="00613864">
            <w:pPr>
              <w:spacing w:after="240"/>
              <w:contextualSpacing/>
              <w:mirrorIndents/>
              <w:rPr>
                <w:rFonts w:cs="Times New Roman"/>
                <w:b/>
                <w:color w:val="000000" w:themeColor="text1"/>
                <w:szCs w:val="24"/>
              </w:rPr>
            </w:pPr>
          </w:p>
        </w:tc>
        <w:tc>
          <w:tcPr>
            <w:tcW w:w="3608" w:type="dxa"/>
          </w:tcPr>
          <w:p w14:paraId="07A97044" w14:textId="77777777" w:rsidR="00F90CAD" w:rsidRPr="00815B3E" w:rsidRDefault="00F90CAD" w:rsidP="00F90CAD">
            <w:pPr>
              <w:rPr>
                <w:rFonts w:cs="Times New Roman"/>
                <w:b/>
                <w:bCs/>
                <w:color w:val="000000" w:themeColor="text1"/>
                <w:szCs w:val="24"/>
              </w:rPr>
            </w:pPr>
            <w:r w:rsidRPr="00815B3E">
              <w:rPr>
                <w:rFonts w:cs="Times New Roman"/>
                <w:b/>
                <w:color w:val="000000" w:themeColor="text1"/>
                <w:szCs w:val="24"/>
              </w:rPr>
              <w:t>4.</w:t>
            </w:r>
            <w:r w:rsidRPr="00815B3E">
              <w:rPr>
                <w:rFonts w:cs="Times New Roman"/>
                <w:b/>
                <w:bCs/>
                <w:color w:val="000000" w:themeColor="text1"/>
                <w:szCs w:val="24"/>
              </w:rPr>
              <w:t xml:space="preserve"> </w:t>
            </w:r>
            <w:r>
              <w:rPr>
                <w:rFonts w:cs="Times New Roman"/>
                <w:color w:val="000000" w:themeColor="text1"/>
                <w:szCs w:val="24"/>
              </w:rPr>
              <w:t>Før § 2</w:t>
            </w:r>
            <w:r w:rsidRPr="00815B3E">
              <w:rPr>
                <w:rFonts w:cs="Times New Roman"/>
                <w:color w:val="000000" w:themeColor="text1"/>
                <w:szCs w:val="24"/>
              </w:rPr>
              <w:t xml:space="preserve"> indsættes som overskrift:</w:t>
            </w:r>
          </w:p>
          <w:p w14:paraId="0A44A3FE" w14:textId="77777777" w:rsidR="00F90CAD" w:rsidRPr="00815B3E" w:rsidRDefault="00F90CAD" w:rsidP="00F90CAD">
            <w:pPr>
              <w:rPr>
                <w:rFonts w:cs="Times New Roman"/>
                <w:b/>
                <w:bCs/>
                <w:color w:val="000000" w:themeColor="text1"/>
                <w:szCs w:val="24"/>
              </w:rPr>
            </w:pPr>
          </w:p>
          <w:p w14:paraId="0653FF19" w14:textId="77777777" w:rsidR="00F90CAD" w:rsidRPr="00613864" w:rsidRDefault="00F90CAD" w:rsidP="00F90CAD">
            <w:pPr>
              <w:jc w:val="center"/>
              <w:rPr>
                <w:rFonts w:eastAsia="Calibri" w:cs="Times New Roman"/>
                <w:bCs/>
                <w:i/>
                <w:iCs/>
                <w:color w:val="000000" w:themeColor="text1"/>
                <w:szCs w:val="24"/>
              </w:rPr>
            </w:pPr>
            <w:r w:rsidRPr="00613864">
              <w:rPr>
                <w:rFonts w:eastAsia="Calibri" w:cs="Times New Roman"/>
                <w:bCs/>
                <w:i/>
                <w:iCs/>
                <w:color w:val="000000" w:themeColor="text1"/>
                <w:szCs w:val="24"/>
              </w:rPr>
              <w:t>”Kapitel 2.</w:t>
            </w:r>
          </w:p>
          <w:p w14:paraId="5F6E21EB" w14:textId="77777777" w:rsidR="00F90CAD" w:rsidRPr="00613864" w:rsidRDefault="00F90CAD" w:rsidP="00F90CAD">
            <w:pPr>
              <w:jc w:val="center"/>
              <w:rPr>
                <w:rFonts w:eastAsia="Calibri" w:cs="Times New Roman"/>
                <w:bCs/>
                <w:i/>
                <w:iCs/>
                <w:color w:val="000000" w:themeColor="text1"/>
                <w:szCs w:val="24"/>
              </w:rPr>
            </w:pPr>
          </w:p>
          <w:p w14:paraId="1F182B49" w14:textId="77777777" w:rsidR="00F90CAD" w:rsidRPr="00613864" w:rsidRDefault="00F90CAD" w:rsidP="00F90CAD">
            <w:pPr>
              <w:jc w:val="center"/>
              <w:rPr>
                <w:rFonts w:eastAsia="Calibri" w:cs="Times New Roman"/>
                <w:bCs/>
                <w:i/>
                <w:iCs/>
                <w:color w:val="000000" w:themeColor="text1"/>
                <w:szCs w:val="24"/>
              </w:rPr>
            </w:pPr>
            <w:r w:rsidRPr="00613864">
              <w:rPr>
                <w:rFonts w:eastAsia="Calibri" w:cs="Times New Roman"/>
                <w:bCs/>
                <w:i/>
                <w:iCs/>
                <w:color w:val="000000" w:themeColor="text1"/>
                <w:szCs w:val="24"/>
              </w:rPr>
              <w:t>Realisationsbeskattede ejendomme”</w:t>
            </w:r>
            <w:r>
              <w:rPr>
                <w:rFonts w:eastAsia="Calibri" w:cs="Times New Roman"/>
                <w:bCs/>
                <w:i/>
                <w:iCs/>
                <w:color w:val="000000" w:themeColor="text1"/>
                <w:szCs w:val="24"/>
              </w:rPr>
              <w:t>.</w:t>
            </w:r>
          </w:p>
          <w:p w14:paraId="044ABD7B" w14:textId="77777777" w:rsidR="00F90CAD" w:rsidRPr="00815B3E" w:rsidRDefault="00F90CAD" w:rsidP="00613864">
            <w:pPr>
              <w:spacing w:after="240"/>
              <w:contextualSpacing/>
              <w:mirrorIndents/>
              <w:jc w:val="center"/>
              <w:rPr>
                <w:rFonts w:cs="Times New Roman"/>
                <w:color w:val="000000" w:themeColor="text1"/>
                <w:szCs w:val="24"/>
              </w:rPr>
            </w:pPr>
          </w:p>
        </w:tc>
      </w:tr>
      <w:tr w:rsidR="00F90CAD" w:rsidRPr="00815B3E" w14:paraId="4D105C15" w14:textId="77777777" w:rsidTr="00613864">
        <w:tc>
          <w:tcPr>
            <w:tcW w:w="3610" w:type="dxa"/>
          </w:tcPr>
          <w:p w14:paraId="690EB546" w14:textId="77777777" w:rsidR="00F90CAD" w:rsidRPr="00815B3E" w:rsidRDefault="00F90CAD" w:rsidP="00613864">
            <w:pPr>
              <w:spacing w:after="240"/>
              <w:contextualSpacing/>
              <w:mirrorIndents/>
              <w:rPr>
                <w:rFonts w:cs="Times New Roman"/>
                <w:b/>
                <w:color w:val="000000" w:themeColor="text1"/>
                <w:szCs w:val="24"/>
              </w:rPr>
            </w:pPr>
          </w:p>
        </w:tc>
        <w:tc>
          <w:tcPr>
            <w:tcW w:w="3608" w:type="dxa"/>
          </w:tcPr>
          <w:p w14:paraId="142083B1" w14:textId="77777777" w:rsidR="00F90CAD" w:rsidRPr="00815B3E" w:rsidRDefault="00F90CAD" w:rsidP="00F90CAD">
            <w:pPr>
              <w:rPr>
                <w:rFonts w:eastAsia="Calibri" w:cs="Times New Roman"/>
                <w:color w:val="000000" w:themeColor="text1"/>
                <w:szCs w:val="24"/>
              </w:rPr>
            </w:pPr>
            <w:r w:rsidRPr="00815B3E">
              <w:rPr>
                <w:rFonts w:eastAsia="Calibri" w:cs="Times New Roman"/>
                <w:b/>
                <w:bCs/>
                <w:color w:val="000000" w:themeColor="text1"/>
                <w:szCs w:val="24"/>
              </w:rPr>
              <w:t>5.</w:t>
            </w:r>
            <w:r w:rsidRPr="00815B3E">
              <w:rPr>
                <w:rFonts w:eastAsia="Calibri" w:cs="Times New Roman"/>
                <w:color w:val="000000" w:themeColor="text1"/>
                <w:szCs w:val="24"/>
              </w:rPr>
              <w:t xml:space="preserve"> Efter § 13 indsættes:</w:t>
            </w:r>
          </w:p>
          <w:p w14:paraId="3E68EC6D" w14:textId="77777777" w:rsidR="00F90CAD" w:rsidRPr="00815B3E" w:rsidRDefault="00F90CAD" w:rsidP="00F90CAD">
            <w:pPr>
              <w:rPr>
                <w:rFonts w:eastAsia="Calibri" w:cs="Times New Roman"/>
                <w:color w:val="000000" w:themeColor="text1"/>
                <w:szCs w:val="24"/>
              </w:rPr>
            </w:pPr>
          </w:p>
          <w:p w14:paraId="5A42E43E" w14:textId="77777777" w:rsidR="00F90CAD" w:rsidRPr="00613864" w:rsidRDefault="00F90CAD" w:rsidP="00F90CAD">
            <w:pPr>
              <w:jc w:val="center"/>
              <w:rPr>
                <w:rFonts w:eastAsia="Calibri" w:cs="Times New Roman"/>
                <w:bCs/>
                <w:i/>
                <w:iCs/>
                <w:color w:val="000000" w:themeColor="text1"/>
                <w:szCs w:val="24"/>
              </w:rPr>
            </w:pPr>
            <w:r w:rsidRPr="00613864">
              <w:rPr>
                <w:rFonts w:eastAsia="Calibri" w:cs="Times New Roman"/>
                <w:bCs/>
                <w:i/>
                <w:iCs/>
                <w:color w:val="000000" w:themeColor="text1"/>
                <w:szCs w:val="24"/>
              </w:rPr>
              <w:t>»Kapitel 3.</w:t>
            </w:r>
          </w:p>
          <w:p w14:paraId="533B05C6" w14:textId="77777777" w:rsidR="00F90CAD" w:rsidRPr="00613864" w:rsidRDefault="00F90CAD" w:rsidP="00F90CAD">
            <w:pPr>
              <w:ind w:firstLine="284"/>
              <w:jc w:val="center"/>
              <w:rPr>
                <w:rFonts w:eastAsia="Calibri" w:cs="Times New Roman"/>
                <w:bCs/>
                <w:i/>
                <w:iCs/>
                <w:color w:val="000000" w:themeColor="text1"/>
                <w:szCs w:val="24"/>
              </w:rPr>
            </w:pPr>
          </w:p>
          <w:p w14:paraId="1A59624F" w14:textId="77777777" w:rsidR="00F90CAD" w:rsidRPr="00613864" w:rsidRDefault="00F90CAD" w:rsidP="00F90CAD">
            <w:pPr>
              <w:jc w:val="center"/>
              <w:rPr>
                <w:rFonts w:eastAsia="Calibri" w:cs="Times New Roman"/>
                <w:bCs/>
                <w:i/>
                <w:iCs/>
                <w:color w:val="000000" w:themeColor="text1"/>
                <w:szCs w:val="24"/>
              </w:rPr>
            </w:pPr>
            <w:r w:rsidRPr="00613864">
              <w:rPr>
                <w:rFonts w:eastAsia="Calibri" w:cs="Times New Roman"/>
                <w:bCs/>
                <w:i/>
                <w:iCs/>
                <w:color w:val="000000" w:themeColor="text1"/>
                <w:szCs w:val="24"/>
              </w:rPr>
              <w:t>Lagerbeskattede ejendomme</w:t>
            </w:r>
          </w:p>
          <w:p w14:paraId="721D4152" w14:textId="77777777" w:rsidR="00F90CAD" w:rsidRPr="00815B3E" w:rsidRDefault="00F90CAD" w:rsidP="00F90CAD">
            <w:pPr>
              <w:ind w:firstLine="284"/>
              <w:rPr>
                <w:rFonts w:eastAsia="Calibri" w:cs="Times New Roman"/>
                <w:b/>
                <w:color w:val="000000" w:themeColor="text1"/>
                <w:szCs w:val="24"/>
              </w:rPr>
            </w:pPr>
          </w:p>
          <w:p w14:paraId="675FD1B6" w14:textId="77777777" w:rsidR="00F90CAD" w:rsidRPr="00815B3E" w:rsidRDefault="00F90CAD" w:rsidP="00F90CAD">
            <w:pPr>
              <w:ind w:firstLine="284"/>
              <w:rPr>
                <w:rFonts w:eastAsia="Calibri" w:cs="Times New Roman"/>
                <w:bCs/>
                <w:color w:val="000000" w:themeColor="text1"/>
                <w:szCs w:val="24"/>
              </w:rPr>
            </w:pPr>
            <w:r w:rsidRPr="00815B3E">
              <w:rPr>
                <w:rFonts w:eastAsia="Calibri" w:cs="Times New Roman"/>
                <w:b/>
                <w:color w:val="000000" w:themeColor="text1"/>
                <w:szCs w:val="24"/>
              </w:rPr>
              <w:t>§ 14.</w:t>
            </w:r>
            <w:r w:rsidRPr="00815B3E">
              <w:rPr>
                <w:rFonts w:eastAsia="Calibri" w:cs="Times New Roman"/>
                <w:bCs/>
                <w:color w:val="000000" w:themeColor="text1"/>
                <w:szCs w:val="24"/>
              </w:rPr>
              <w:t xml:space="preserve"> Skattepligtige omfattet af selskabsskattelovens § 1, stk. 1, </w:t>
            </w:r>
            <w:r>
              <w:rPr>
                <w:rFonts w:eastAsia="Calibri" w:cs="Times New Roman"/>
                <w:bCs/>
                <w:color w:val="000000" w:themeColor="text1"/>
                <w:szCs w:val="24"/>
              </w:rPr>
              <w:t xml:space="preserve">nr. 1-2j og 3a-6, </w:t>
            </w:r>
            <w:r w:rsidRPr="00815B3E">
              <w:rPr>
                <w:rFonts w:eastAsia="Calibri" w:cs="Times New Roman"/>
                <w:bCs/>
                <w:color w:val="000000" w:themeColor="text1"/>
                <w:szCs w:val="24"/>
              </w:rPr>
              <w:t>eller § 2, stk. 1, litra a eller b</w:t>
            </w:r>
            <w:r>
              <w:rPr>
                <w:rFonts w:eastAsia="Calibri" w:cs="Times New Roman"/>
                <w:bCs/>
                <w:color w:val="000000" w:themeColor="text1"/>
                <w:szCs w:val="24"/>
              </w:rPr>
              <w:t xml:space="preserve">, </w:t>
            </w:r>
            <w:r w:rsidRPr="00815B3E">
              <w:rPr>
                <w:rFonts w:eastAsia="Calibri" w:cs="Times New Roman"/>
                <w:bCs/>
                <w:color w:val="000000" w:themeColor="text1"/>
                <w:szCs w:val="24"/>
              </w:rPr>
              <w:t xml:space="preserve">skal ved opgørelsen af den skattepligtige indkomst medregne </w:t>
            </w:r>
            <w:proofErr w:type="spellStart"/>
            <w:r w:rsidRPr="00815B3E">
              <w:rPr>
                <w:rFonts w:eastAsia="Calibri" w:cs="Times New Roman"/>
                <w:bCs/>
                <w:color w:val="000000" w:themeColor="text1"/>
                <w:szCs w:val="24"/>
              </w:rPr>
              <w:t>urealiseret</w:t>
            </w:r>
            <w:proofErr w:type="spellEnd"/>
            <w:r w:rsidRPr="00815B3E">
              <w:rPr>
                <w:rFonts w:eastAsia="Calibri" w:cs="Times New Roman"/>
                <w:bCs/>
                <w:color w:val="000000" w:themeColor="text1"/>
                <w:szCs w:val="24"/>
              </w:rPr>
              <w:t xml:space="preserve"> gevinst og tab på ejendomme (lagerprincippet), når </w:t>
            </w:r>
            <w:r>
              <w:rPr>
                <w:rFonts w:eastAsia="Calibri" w:cs="Times New Roman"/>
                <w:bCs/>
                <w:color w:val="000000" w:themeColor="text1"/>
                <w:szCs w:val="24"/>
              </w:rPr>
              <w:t>følgende betingelser er opfyldt:</w:t>
            </w:r>
          </w:p>
          <w:p w14:paraId="61FD14BF" w14:textId="77777777" w:rsidR="00F90CAD" w:rsidRPr="00815B3E" w:rsidRDefault="00F90CAD" w:rsidP="00F90CAD">
            <w:pPr>
              <w:ind w:firstLine="284"/>
              <w:rPr>
                <w:rFonts w:eastAsia="Calibri" w:cs="Times New Roman"/>
                <w:bCs/>
                <w:color w:val="000000" w:themeColor="text1"/>
                <w:szCs w:val="24"/>
              </w:rPr>
            </w:pPr>
            <w:r w:rsidRPr="00815B3E">
              <w:rPr>
                <w:rFonts w:eastAsia="Calibri" w:cs="Times New Roman"/>
                <w:bCs/>
                <w:color w:val="000000" w:themeColor="text1"/>
                <w:szCs w:val="24"/>
              </w:rPr>
              <w:t xml:space="preserve">1) </w:t>
            </w:r>
            <w:r>
              <w:rPr>
                <w:rFonts w:eastAsia="Calibri" w:cs="Times New Roman"/>
                <w:bCs/>
                <w:color w:val="000000" w:themeColor="text1"/>
                <w:szCs w:val="24"/>
              </w:rPr>
              <w:t>E</w:t>
            </w:r>
            <w:r w:rsidRPr="00815B3E">
              <w:rPr>
                <w:rFonts w:eastAsia="Calibri" w:cs="Times New Roman"/>
                <w:bCs/>
                <w:color w:val="000000" w:themeColor="text1"/>
                <w:szCs w:val="24"/>
              </w:rPr>
              <w:t>jendommen udlejes i overvejende omfang på noget tidspunkt i den skattepligtiges indkomstår og</w:t>
            </w:r>
          </w:p>
          <w:p w14:paraId="4511D73A" w14:textId="77777777" w:rsidR="00F90CAD" w:rsidRPr="00815B3E" w:rsidRDefault="00F90CAD" w:rsidP="00F90CAD">
            <w:pPr>
              <w:ind w:firstLine="284"/>
              <w:rPr>
                <w:rFonts w:eastAsia="Calibri" w:cs="Times New Roman"/>
                <w:bCs/>
                <w:color w:val="000000" w:themeColor="text1"/>
                <w:szCs w:val="24"/>
              </w:rPr>
            </w:pPr>
            <w:r w:rsidRPr="00815B3E">
              <w:rPr>
                <w:rFonts w:eastAsia="Calibri" w:cs="Times New Roman"/>
                <w:bCs/>
                <w:color w:val="000000" w:themeColor="text1"/>
                <w:szCs w:val="24"/>
              </w:rPr>
              <w:t xml:space="preserve">2) </w:t>
            </w:r>
            <w:r>
              <w:rPr>
                <w:rFonts w:eastAsia="Calibri" w:cs="Times New Roman"/>
                <w:bCs/>
                <w:color w:val="000000" w:themeColor="text1"/>
                <w:szCs w:val="24"/>
              </w:rPr>
              <w:t>H</w:t>
            </w:r>
            <w:r w:rsidRPr="00815B3E">
              <w:rPr>
                <w:rFonts w:eastAsia="Calibri" w:cs="Times New Roman"/>
                <w:bCs/>
                <w:color w:val="000000" w:themeColor="text1"/>
                <w:szCs w:val="24"/>
              </w:rPr>
              <w:t>andelsværdien af ejendomme under dansk beskatning, der udlejes i overvejende omfang, overstiger 100 mio. kr. ved udløbet af den skattepligtiges indkomstår. Ved opgørelsen efter 1. pkt. medregnes værdien af den skattepligtiges egne ejendomme og ejendomme tilhørende selskaber m.v.</w:t>
            </w:r>
            <w:r>
              <w:rPr>
                <w:rFonts w:eastAsia="Calibri" w:cs="Times New Roman"/>
                <w:bCs/>
                <w:color w:val="000000" w:themeColor="text1"/>
                <w:szCs w:val="24"/>
              </w:rPr>
              <w:t xml:space="preserve"> som nævnt i 1. pkt., og</w:t>
            </w:r>
            <w:r w:rsidRPr="00815B3E">
              <w:rPr>
                <w:rFonts w:eastAsia="Calibri" w:cs="Times New Roman"/>
                <w:bCs/>
                <w:color w:val="000000" w:themeColor="text1"/>
                <w:szCs w:val="24"/>
              </w:rPr>
              <w:t xml:space="preserve"> som kontrolleres af den kreds af parter, der har en forbindelse, som er nævnt i ligningslovens § 2. Hvis indkomståret </w:t>
            </w:r>
            <w:r w:rsidRPr="00815B3E">
              <w:rPr>
                <w:rFonts w:eastAsia="Calibri" w:cs="Times New Roman"/>
                <w:bCs/>
                <w:color w:val="000000" w:themeColor="text1"/>
                <w:szCs w:val="24"/>
              </w:rPr>
              <w:lastRenderedPageBreak/>
              <w:t>for en part ikke udløber på samme tidspunkt som indkomståret for den skattepligtige, anvendes værdien ved udløbet af det indkomstår, som træder i stedet for den skattepligtiges indkomstår, ved opgørelsen efter 2. pkt.</w:t>
            </w:r>
          </w:p>
          <w:p w14:paraId="587A9EDD" w14:textId="77777777" w:rsidR="00F90CAD" w:rsidRPr="00815B3E" w:rsidRDefault="00F90CAD" w:rsidP="00F90CAD">
            <w:pPr>
              <w:ind w:firstLine="284"/>
              <w:rPr>
                <w:rFonts w:eastAsia="Calibri" w:cs="Times New Roman"/>
                <w:bCs/>
                <w:color w:val="000000" w:themeColor="text1"/>
                <w:szCs w:val="24"/>
              </w:rPr>
            </w:pPr>
            <w:r w:rsidRPr="00815B3E">
              <w:rPr>
                <w:rFonts w:eastAsia="Calibri" w:cs="Times New Roman"/>
                <w:bCs/>
                <w:i/>
                <w:iCs/>
                <w:color w:val="000000" w:themeColor="text1"/>
                <w:szCs w:val="24"/>
              </w:rPr>
              <w:t>Stk. 2.</w:t>
            </w:r>
            <w:r w:rsidRPr="00815B3E">
              <w:rPr>
                <w:rFonts w:eastAsia="Calibri" w:cs="Times New Roman"/>
                <w:bCs/>
                <w:color w:val="000000" w:themeColor="text1"/>
                <w:szCs w:val="24"/>
              </w:rPr>
              <w:t xml:space="preserve"> En ejendom anses for udlejet i overvejende omfang, hvis mere end 50 pct. af bygningernes samlede etageareal eller mere end 50 pct. af ejendommens samlede grundareal udlejes. </w:t>
            </w:r>
            <w:r w:rsidRPr="00813769">
              <w:rPr>
                <w:rFonts w:eastAsia="Calibri" w:cs="Times New Roman"/>
                <w:bCs/>
                <w:szCs w:val="24"/>
              </w:rPr>
              <w:t xml:space="preserve">En ejendom anses for udlejet fra det tidspunkt, lejer overtager det lejede. </w:t>
            </w:r>
            <w:r w:rsidRPr="00813769">
              <w:rPr>
                <w:rFonts w:eastAsia="Calibri" w:cs="Times New Roman"/>
                <w:bCs/>
                <w:color w:val="000000" w:themeColor="text1"/>
                <w:szCs w:val="24"/>
              </w:rPr>
              <w:t>Udlejning</w:t>
            </w:r>
            <w:r w:rsidRPr="00815B3E">
              <w:rPr>
                <w:rFonts w:eastAsia="Calibri" w:cs="Times New Roman"/>
                <w:bCs/>
                <w:color w:val="000000" w:themeColor="text1"/>
                <w:szCs w:val="24"/>
              </w:rPr>
              <w:t xml:space="preserve"> til en lejer, der er sambeskattet med den skattepligtige, jf. selskabsskattelovens §</w:t>
            </w:r>
            <w:r>
              <w:rPr>
                <w:rFonts w:eastAsia="Calibri" w:cs="Times New Roman"/>
                <w:bCs/>
                <w:color w:val="000000" w:themeColor="text1"/>
                <w:szCs w:val="24"/>
              </w:rPr>
              <w:t>§</w:t>
            </w:r>
            <w:r w:rsidRPr="00815B3E">
              <w:rPr>
                <w:rFonts w:eastAsia="Calibri" w:cs="Times New Roman"/>
                <w:bCs/>
                <w:color w:val="000000" w:themeColor="text1"/>
                <w:szCs w:val="24"/>
              </w:rPr>
              <w:t xml:space="preserve"> 31 og 31 A, anses ikke for udlejning, medmindre ejendommen videreudlejes til en lejer, der ikke er sambeskattet med den skattepligtige.</w:t>
            </w:r>
            <w:r>
              <w:rPr>
                <w:rFonts w:eastAsia="Calibri" w:cs="Times New Roman"/>
                <w:bCs/>
                <w:color w:val="000000" w:themeColor="text1"/>
                <w:szCs w:val="24"/>
              </w:rPr>
              <w:t xml:space="preserve"> Udlejning fra foreninger m.v. anses efter denne bestemmelse ikke for udlejning, når lejeindtægten ikke anses som indvundet ved erhvervsmæssig virksomhed efter selskabsskattelovens § 1, stk. 4 eller 5.</w:t>
            </w:r>
          </w:p>
          <w:p w14:paraId="732D7978" w14:textId="77777777" w:rsidR="00F90CAD" w:rsidRPr="00815B3E" w:rsidRDefault="00F90CAD" w:rsidP="00F90CAD">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Stk. 3. </w:t>
            </w:r>
            <w:r w:rsidRPr="00815B3E">
              <w:rPr>
                <w:rFonts w:eastAsia="Calibri" w:cs="Times New Roman"/>
                <w:bCs/>
                <w:color w:val="000000" w:themeColor="text1"/>
                <w:szCs w:val="24"/>
              </w:rPr>
              <w:t xml:space="preserve">En ejendom vedbliver med at være lagerbeskattet, så længe den skattepligtige ejer ejendommen. </w:t>
            </w:r>
          </w:p>
          <w:p w14:paraId="3299F418" w14:textId="77777777" w:rsidR="00F90CAD" w:rsidRPr="00815B3E" w:rsidRDefault="00F90CAD" w:rsidP="00F90CAD">
            <w:pPr>
              <w:ind w:firstLine="284"/>
              <w:rPr>
                <w:rFonts w:eastAsia="Calibri" w:cs="Times New Roman"/>
                <w:bCs/>
                <w:color w:val="000000" w:themeColor="text1"/>
                <w:szCs w:val="24"/>
              </w:rPr>
            </w:pPr>
          </w:p>
          <w:p w14:paraId="57360E2A" w14:textId="77777777" w:rsidR="00F90CAD" w:rsidRDefault="00F90CAD" w:rsidP="00F90CAD">
            <w:pPr>
              <w:ind w:firstLine="284"/>
              <w:rPr>
                <w:rFonts w:eastAsia="Calibri" w:cs="Times New Roman"/>
                <w:bCs/>
                <w:color w:val="000000" w:themeColor="text1"/>
                <w:szCs w:val="24"/>
              </w:rPr>
            </w:pPr>
            <w:r w:rsidRPr="00815B3E">
              <w:rPr>
                <w:rFonts w:eastAsia="Calibri" w:cs="Times New Roman"/>
                <w:b/>
                <w:color w:val="000000" w:themeColor="text1"/>
                <w:szCs w:val="24"/>
              </w:rPr>
              <w:t xml:space="preserve">§ 14 A. </w:t>
            </w:r>
            <w:r w:rsidRPr="00815B3E">
              <w:rPr>
                <w:rFonts w:eastAsia="Calibri" w:cs="Times New Roman"/>
                <w:bCs/>
                <w:color w:val="000000" w:themeColor="text1"/>
                <w:szCs w:val="24"/>
              </w:rPr>
              <w:t xml:space="preserve">Fortjeneste og tab på en fast ejendom omfattet af § 14 opgøres som forskellen mellem ejendommens handelsværdi ved indkomstårets udløb og ejendommens handelsværdi ved indkomstårets begyndelse (lagerprincippet). Hvis ejendommen er erhvervet i løbet af </w:t>
            </w:r>
            <w:r w:rsidRPr="00815B3E">
              <w:rPr>
                <w:rFonts w:eastAsia="Calibri" w:cs="Times New Roman"/>
                <w:bCs/>
                <w:color w:val="000000" w:themeColor="text1"/>
                <w:szCs w:val="24"/>
              </w:rPr>
              <w:lastRenderedPageBreak/>
              <w:t>indkomståret, anvendes ejendommens anskaffelsessum i stedet for værdien ved indkomstårets begyndelse. Hvis ejendommen er afstået i løbet af indkomståret, anvendes ejendommens afståelsessum i stedet for værdien ved indkomstårets udløb.</w:t>
            </w:r>
          </w:p>
          <w:p w14:paraId="4FCA4C1B" w14:textId="77777777" w:rsidR="00F90CAD" w:rsidRPr="00815B3E" w:rsidRDefault="00F90CAD" w:rsidP="00F90CAD">
            <w:pPr>
              <w:ind w:firstLine="284"/>
              <w:rPr>
                <w:rFonts w:eastAsia="Calibri" w:cs="Times New Roman"/>
                <w:bCs/>
                <w:color w:val="000000" w:themeColor="text1"/>
                <w:szCs w:val="24"/>
              </w:rPr>
            </w:pPr>
            <w:r w:rsidRPr="00F95722">
              <w:rPr>
                <w:rFonts w:eastAsia="Calibri" w:cs="Times New Roman"/>
                <w:bCs/>
                <w:i/>
                <w:iCs/>
                <w:color w:val="000000" w:themeColor="text1"/>
                <w:szCs w:val="24"/>
              </w:rPr>
              <w:t>Stk. 2.</w:t>
            </w:r>
            <w:r>
              <w:rPr>
                <w:rFonts w:eastAsia="Calibri" w:cs="Times New Roman"/>
                <w:bCs/>
                <w:color w:val="000000" w:themeColor="text1"/>
                <w:szCs w:val="24"/>
              </w:rPr>
              <w:t xml:space="preserve"> Anskaffelsessummen omregnes til kontantværdi, der beregnes ved, at den kontante del af anskaffelsessummen lægges sammen med kursværdien af ejendommens gældsposter på anskaffelsestidspunktet. Afståelsessummen omregnes til kontantværdi, der beregnes ved, at den kontante del af afståelsessummen lægges sammen med kursværdien af de overdragne gældsposter på afståelsestidspunktet.  </w:t>
            </w:r>
            <w:r w:rsidRPr="00815B3E">
              <w:rPr>
                <w:rFonts w:eastAsia="Calibri" w:cs="Times New Roman"/>
                <w:bCs/>
                <w:color w:val="000000" w:themeColor="text1"/>
                <w:szCs w:val="24"/>
              </w:rPr>
              <w:t xml:space="preserve">  </w:t>
            </w:r>
          </w:p>
          <w:p w14:paraId="1ED68266" w14:textId="77777777" w:rsidR="00F90CAD" w:rsidRPr="00815B3E" w:rsidRDefault="00F90CAD" w:rsidP="00F90CAD">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Stk. </w:t>
            </w:r>
            <w:r>
              <w:rPr>
                <w:rFonts w:eastAsia="Calibri" w:cs="Times New Roman"/>
                <w:bCs/>
                <w:i/>
                <w:iCs/>
                <w:color w:val="000000" w:themeColor="text1"/>
                <w:szCs w:val="24"/>
              </w:rPr>
              <w:t>3</w:t>
            </w:r>
            <w:r w:rsidRPr="00815B3E">
              <w:rPr>
                <w:rFonts w:eastAsia="Calibri" w:cs="Times New Roman"/>
                <w:bCs/>
                <w:i/>
                <w:iCs/>
                <w:color w:val="000000" w:themeColor="text1"/>
                <w:szCs w:val="24"/>
              </w:rPr>
              <w:t>.</w:t>
            </w:r>
            <w:r w:rsidRPr="00815B3E">
              <w:rPr>
                <w:rFonts w:eastAsia="Calibri" w:cs="Times New Roman"/>
                <w:bCs/>
                <w:color w:val="000000" w:themeColor="text1"/>
                <w:szCs w:val="24"/>
              </w:rPr>
              <w:t xml:space="preserve"> Erstatnings- og forsikringssummer sidestilles med afståelsessummer. </w:t>
            </w:r>
          </w:p>
          <w:p w14:paraId="26554DAF" w14:textId="77777777" w:rsidR="00F90CAD" w:rsidRPr="00815B3E" w:rsidRDefault="00F90CAD" w:rsidP="00F90CAD">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Stk. </w:t>
            </w:r>
            <w:r>
              <w:rPr>
                <w:rFonts w:eastAsia="Calibri" w:cs="Times New Roman"/>
                <w:bCs/>
                <w:i/>
                <w:iCs/>
                <w:color w:val="000000" w:themeColor="text1"/>
                <w:szCs w:val="24"/>
              </w:rPr>
              <w:t>4</w:t>
            </w:r>
            <w:r w:rsidRPr="00815B3E">
              <w:rPr>
                <w:rFonts w:eastAsia="Calibri" w:cs="Times New Roman"/>
                <w:bCs/>
                <w:i/>
                <w:iCs/>
                <w:color w:val="000000" w:themeColor="text1"/>
                <w:szCs w:val="24"/>
              </w:rPr>
              <w:t xml:space="preserve">. </w:t>
            </w:r>
            <w:r w:rsidRPr="00815B3E">
              <w:rPr>
                <w:rFonts w:eastAsia="Calibri" w:cs="Times New Roman"/>
                <w:bCs/>
                <w:color w:val="000000" w:themeColor="text1"/>
                <w:szCs w:val="24"/>
              </w:rPr>
              <w:t xml:space="preserve">Afstår en ejer af fast ejendom denne på sådanne vilkår, at der ved senere afståelse tilfalder ejeren et yderligere vederlag for ejendommen, medregnes dette yderligere vederlag </w:t>
            </w:r>
            <w:r>
              <w:rPr>
                <w:rFonts w:eastAsia="Calibri" w:cs="Times New Roman"/>
                <w:bCs/>
                <w:color w:val="000000" w:themeColor="text1"/>
                <w:szCs w:val="24"/>
              </w:rPr>
              <w:t>ved opgørelsen af</w:t>
            </w:r>
            <w:r w:rsidRPr="00815B3E">
              <w:rPr>
                <w:rFonts w:eastAsia="Calibri" w:cs="Times New Roman"/>
                <w:bCs/>
                <w:color w:val="000000" w:themeColor="text1"/>
                <w:szCs w:val="24"/>
              </w:rPr>
              <w:t xml:space="preserve"> den skattepligtige indkomst i det år, hvor retten til det yderligere vederlag erhverves.</w:t>
            </w:r>
          </w:p>
          <w:p w14:paraId="3192091E" w14:textId="77777777" w:rsidR="00F90CAD" w:rsidRPr="00815B3E" w:rsidRDefault="00F90CAD" w:rsidP="00F90CAD">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Stk. </w:t>
            </w:r>
            <w:r>
              <w:rPr>
                <w:rFonts w:eastAsia="Calibri" w:cs="Times New Roman"/>
                <w:bCs/>
                <w:i/>
                <w:iCs/>
                <w:color w:val="000000" w:themeColor="text1"/>
                <w:szCs w:val="24"/>
              </w:rPr>
              <w:t>5</w:t>
            </w:r>
            <w:r w:rsidRPr="00815B3E">
              <w:rPr>
                <w:rFonts w:eastAsia="Calibri" w:cs="Times New Roman"/>
                <w:bCs/>
                <w:i/>
                <w:iCs/>
                <w:color w:val="000000" w:themeColor="text1"/>
                <w:szCs w:val="24"/>
              </w:rPr>
              <w:t>.</w:t>
            </w:r>
            <w:r w:rsidRPr="00815B3E">
              <w:rPr>
                <w:rFonts w:eastAsia="Calibri" w:cs="Times New Roman"/>
                <w:bCs/>
                <w:color w:val="000000" w:themeColor="text1"/>
                <w:szCs w:val="24"/>
              </w:rPr>
              <w:t xml:space="preserve"> Ved opgørelsen af den skattepligtige indkomst kan udgifter, der er afholdt til forbedring og vedligeholdelse af ejendommen, fratrækkes.</w:t>
            </w:r>
          </w:p>
          <w:p w14:paraId="4A7495DF" w14:textId="77777777" w:rsidR="00F90CAD" w:rsidRPr="00815B3E" w:rsidRDefault="00F90CAD" w:rsidP="00F90CAD">
            <w:pPr>
              <w:ind w:firstLine="284"/>
              <w:rPr>
                <w:rFonts w:eastAsia="Calibri" w:cs="Times New Roman"/>
                <w:bCs/>
                <w:color w:val="000000" w:themeColor="text1"/>
                <w:szCs w:val="24"/>
              </w:rPr>
            </w:pPr>
          </w:p>
          <w:p w14:paraId="75A65AE9" w14:textId="77777777" w:rsidR="00F90CAD" w:rsidRPr="00815B3E" w:rsidRDefault="00F90CAD" w:rsidP="00F90CAD">
            <w:pPr>
              <w:ind w:firstLine="284"/>
              <w:rPr>
                <w:rFonts w:eastAsia="Calibri" w:cs="Times New Roman"/>
                <w:bCs/>
                <w:color w:val="000000" w:themeColor="text1"/>
                <w:szCs w:val="24"/>
              </w:rPr>
            </w:pPr>
            <w:r w:rsidRPr="00815B3E">
              <w:rPr>
                <w:rFonts w:eastAsia="Calibri" w:cs="Times New Roman"/>
                <w:b/>
                <w:color w:val="000000" w:themeColor="text1"/>
                <w:szCs w:val="24"/>
              </w:rPr>
              <w:t xml:space="preserve">§ 14 B. </w:t>
            </w:r>
            <w:r w:rsidRPr="00815B3E">
              <w:rPr>
                <w:rFonts w:eastAsia="Calibri" w:cs="Times New Roman"/>
                <w:bCs/>
                <w:color w:val="000000" w:themeColor="text1"/>
                <w:szCs w:val="24"/>
              </w:rPr>
              <w:t xml:space="preserve">Overgang fra realisationsbeskatning til lagerbeskatning </w:t>
            </w:r>
            <w:r w:rsidRPr="00815B3E">
              <w:rPr>
                <w:rFonts w:eastAsia="Calibri" w:cs="Times New Roman"/>
                <w:bCs/>
                <w:color w:val="000000" w:themeColor="text1"/>
                <w:szCs w:val="24"/>
              </w:rPr>
              <w:lastRenderedPageBreak/>
              <w:t xml:space="preserve">finder sted med virkning fra begyndelsen af det indkomstår, hvor betingelserne i § 14 er opfyldt. </w:t>
            </w:r>
          </w:p>
          <w:p w14:paraId="09FA80C1" w14:textId="77777777" w:rsidR="00F90CAD" w:rsidRPr="00815B3E" w:rsidRDefault="00F90CAD" w:rsidP="00F90CAD">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Stk. 2. </w:t>
            </w:r>
            <w:r w:rsidRPr="00815B3E">
              <w:rPr>
                <w:rFonts w:eastAsia="Calibri" w:cs="Times New Roman"/>
                <w:bCs/>
                <w:color w:val="000000" w:themeColor="text1"/>
                <w:szCs w:val="24"/>
              </w:rPr>
              <w:t>For nyerhvervede ejendomme, som udlejes i overvejende omfang, indtræder lagerbeskatningen med virkning fra erhvervelsen, hvis betingelserne i § 14 er opfyldt i det indkomstår, erhvervelsen finder sted.</w:t>
            </w:r>
          </w:p>
          <w:p w14:paraId="6A2A1300" w14:textId="77777777" w:rsidR="00F90CAD" w:rsidRPr="00815B3E" w:rsidRDefault="00F90CAD" w:rsidP="00F90CAD">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Stk. 3. </w:t>
            </w:r>
            <w:r w:rsidRPr="00815B3E">
              <w:rPr>
                <w:rFonts w:eastAsia="Calibri" w:cs="Times New Roman"/>
                <w:bCs/>
                <w:color w:val="000000" w:themeColor="text1"/>
                <w:szCs w:val="24"/>
              </w:rPr>
              <w:t>Ejendomme, der erhverves ved en skattefri fusion, spaltning eller tilførsel af aktiver, og som udlejes i overvejende omfang, overgår til lagerbeskatning med virkning fra fusionsdatoen, jf. fusionsskattelovens § 5, hvis betingelserne i § 14 er opfyldt i det indkomstår, hvor erhvervelsen finder sted. Hvis selskaberne ikke har samme skattemæssige fusionsdato, har overgangen til lagerbeskatning virkning fra fusionsdatoen for det selskab, hvorfra ejendommen indskydes.</w:t>
            </w:r>
          </w:p>
          <w:p w14:paraId="6B27CB40" w14:textId="77777777" w:rsidR="00F90CAD" w:rsidRPr="00815B3E" w:rsidRDefault="00F90CAD" w:rsidP="00F90CAD">
            <w:pPr>
              <w:ind w:firstLine="284"/>
              <w:rPr>
                <w:rFonts w:eastAsia="Calibri" w:cs="Times New Roman"/>
                <w:bCs/>
                <w:color w:val="000000" w:themeColor="text1"/>
                <w:szCs w:val="24"/>
              </w:rPr>
            </w:pPr>
          </w:p>
          <w:p w14:paraId="70AD57CC" w14:textId="77777777" w:rsidR="00F90CAD" w:rsidRPr="00815B3E" w:rsidRDefault="00F90CAD" w:rsidP="00F90CAD">
            <w:pPr>
              <w:ind w:firstLine="284"/>
              <w:rPr>
                <w:rFonts w:eastAsia="Calibri" w:cs="Times New Roman"/>
                <w:bCs/>
                <w:color w:val="000000" w:themeColor="text1"/>
                <w:szCs w:val="24"/>
              </w:rPr>
            </w:pPr>
            <w:r w:rsidRPr="00815B3E">
              <w:rPr>
                <w:rFonts w:eastAsia="Calibri" w:cs="Times New Roman"/>
                <w:b/>
                <w:color w:val="000000" w:themeColor="text1"/>
                <w:szCs w:val="24"/>
              </w:rPr>
              <w:t xml:space="preserve">§ 14 C. </w:t>
            </w:r>
            <w:r w:rsidRPr="00815B3E">
              <w:rPr>
                <w:rFonts w:eastAsia="Calibri" w:cs="Times New Roman"/>
                <w:bCs/>
                <w:color w:val="000000" w:themeColor="text1"/>
                <w:szCs w:val="24"/>
              </w:rPr>
              <w:t>Ved overgang fra realisationsbeskatning til lagerbeskatning, jf. § 14 B, anses ejendommen for afstået til handelsværdien</w:t>
            </w:r>
            <w:r w:rsidRPr="00390E5A">
              <w:rPr>
                <w:rFonts w:eastAsia="Calibri" w:cs="Times New Roman"/>
                <w:bCs/>
                <w:color w:val="000000" w:themeColor="text1"/>
                <w:szCs w:val="24"/>
              </w:rPr>
              <w:t xml:space="preserve"> </w:t>
            </w:r>
            <w:r w:rsidRPr="00815B3E">
              <w:rPr>
                <w:rFonts w:eastAsia="Calibri" w:cs="Times New Roman"/>
                <w:bCs/>
                <w:color w:val="000000" w:themeColor="text1"/>
                <w:szCs w:val="24"/>
              </w:rPr>
              <w:t>på overgangstidspunktet</w:t>
            </w:r>
            <w:r>
              <w:rPr>
                <w:rFonts w:eastAsia="Calibri" w:cs="Times New Roman"/>
                <w:bCs/>
                <w:color w:val="000000" w:themeColor="text1"/>
                <w:szCs w:val="24"/>
              </w:rPr>
              <w:t>. Denne handelsværdi</w:t>
            </w:r>
            <w:r w:rsidRPr="00390E5A">
              <w:rPr>
                <w:rFonts w:eastAsia="Calibri" w:cs="Times New Roman"/>
                <w:bCs/>
                <w:color w:val="000000" w:themeColor="text1"/>
                <w:szCs w:val="24"/>
              </w:rPr>
              <w:t xml:space="preserve"> udgør indgangsværdien ved overgangen til lagerbeskatning</w:t>
            </w:r>
            <w:r>
              <w:rPr>
                <w:rFonts w:eastAsia="Calibri" w:cs="Times New Roman"/>
                <w:bCs/>
                <w:color w:val="000000" w:themeColor="text1"/>
                <w:szCs w:val="24"/>
              </w:rPr>
              <w:t>.</w:t>
            </w:r>
            <w:r w:rsidRPr="00815B3E">
              <w:rPr>
                <w:rFonts w:eastAsia="Calibri" w:cs="Times New Roman"/>
                <w:bCs/>
                <w:color w:val="000000" w:themeColor="text1"/>
                <w:szCs w:val="24"/>
              </w:rPr>
              <w:t xml:space="preserve"> </w:t>
            </w:r>
          </w:p>
          <w:p w14:paraId="450E2F8F" w14:textId="77777777" w:rsidR="00F90CAD" w:rsidRPr="00815B3E" w:rsidRDefault="00F90CAD" w:rsidP="00F90CAD">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Stk. 2. </w:t>
            </w:r>
            <w:r w:rsidRPr="00815B3E">
              <w:rPr>
                <w:rFonts w:eastAsia="Calibri" w:cs="Times New Roman"/>
                <w:bCs/>
                <w:color w:val="000000" w:themeColor="text1"/>
                <w:szCs w:val="24"/>
              </w:rPr>
              <w:t>Den opgjorte indgangsværdi anvendes som anskaffelsessum i forhold til lagerbeskatningen, jf. § 14 A.</w:t>
            </w:r>
          </w:p>
          <w:p w14:paraId="4C4363EE" w14:textId="77777777" w:rsidR="00F90CAD" w:rsidRPr="00815B3E" w:rsidRDefault="00F90CAD" w:rsidP="00F90CAD">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Stk. 3. </w:t>
            </w:r>
            <w:r w:rsidRPr="00815B3E">
              <w:rPr>
                <w:rFonts w:eastAsia="Calibri" w:cs="Times New Roman"/>
                <w:bCs/>
                <w:color w:val="000000" w:themeColor="text1"/>
                <w:szCs w:val="24"/>
              </w:rPr>
              <w:t xml:space="preserve">Den opgjorte indgangsværdi anvendes endvidere som afståelsessum i forhold til beskatning af genvundne afskrivninger eller </w:t>
            </w:r>
            <w:r w:rsidRPr="00815B3E">
              <w:rPr>
                <w:rFonts w:eastAsia="Calibri" w:cs="Times New Roman"/>
                <w:bCs/>
                <w:color w:val="000000" w:themeColor="text1"/>
                <w:szCs w:val="24"/>
              </w:rPr>
              <w:lastRenderedPageBreak/>
              <w:t>tab efter afskrivningsloven og i forhold til realisationsbeskatning af ejendommen efter kapitel 2 eller i forhold til beskatning som næringsejendom efter statsskatteloven. Fortjeneste eller tab efter 1. pkt. medregnes dog først ved opgørelsen af den skattepligtige indkomst for det indkomstår, hvor ejendommens egentlige afståelse finder sted, jf. dog § 14 D.</w:t>
            </w:r>
          </w:p>
          <w:p w14:paraId="505D7947" w14:textId="77777777" w:rsidR="00F90CAD" w:rsidRPr="00815B3E" w:rsidRDefault="00F90CAD" w:rsidP="00F90CAD">
            <w:pPr>
              <w:ind w:firstLine="284"/>
              <w:rPr>
                <w:rFonts w:eastAsia="Calibri" w:cs="Times New Roman"/>
                <w:bCs/>
                <w:color w:val="000000" w:themeColor="text1"/>
                <w:szCs w:val="24"/>
              </w:rPr>
            </w:pPr>
          </w:p>
          <w:p w14:paraId="2D026E23" w14:textId="77777777" w:rsidR="00F90CAD" w:rsidRPr="00815B3E" w:rsidRDefault="00F90CAD" w:rsidP="00F90CAD">
            <w:pPr>
              <w:ind w:firstLine="284"/>
              <w:rPr>
                <w:rFonts w:eastAsia="Calibri" w:cs="Times New Roman"/>
                <w:bCs/>
                <w:color w:val="000000" w:themeColor="text1"/>
                <w:szCs w:val="24"/>
              </w:rPr>
            </w:pPr>
            <w:r w:rsidRPr="00815B3E">
              <w:rPr>
                <w:rFonts w:eastAsia="Calibri" w:cs="Times New Roman"/>
                <w:b/>
                <w:color w:val="000000" w:themeColor="text1"/>
                <w:szCs w:val="24"/>
              </w:rPr>
              <w:t xml:space="preserve">§ 14 D. </w:t>
            </w:r>
            <w:r w:rsidRPr="00815B3E">
              <w:rPr>
                <w:rFonts w:eastAsia="Calibri" w:cs="Times New Roman"/>
                <w:bCs/>
                <w:color w:val="000000" w:themeColor="text1"/>
                <w:szCs w:val="24"/>
              </w:rPr>
              <w:t>Den skattepligtige skal for hver ejendom, der overgår fra realisationsbeskatning til lagerbeskatning, føre en realisationssaldo, der indeholder den samlede nettogevinst (positiv realisationssaldo) eller det samlede nettotab (negativ realisationssaldo) opgjort efter § 14 C, stk. 3.</w:t>
            </w:r>
          </w:p>
          <w:p w14:paraId="51480A48" w14:textId="77777777" w:rsidR="00F90CAD" w:rsidRPr="00815B3E" w:rsidRDefault="00F90CAD" w:rsidP="00F90CAD">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Stk. 2. </w:t>
            </w:r>
            <w:r w:rsidRPr="00815B3E">
              <w:rPr>
                <w:rFonts w:eastAsia="Calibri" w:cs="Times New Roman"/>
                <w:bCs/>
                <w:color w:val="000000" w:themeColor="text1"/>
                <w:szCs w:val="24"/>
              </w:rPr>
              <w:t xml:space="preserve">Hvis realisationssaldoen er positiv, modregnes den i indkomstårets eventuelle tab på ejendommen opgjort efter lagerprincippet, jf. § 14 A. Alene den del af tabet på ejendommen, der resterer efter modregning, kan fratrækkes ved opgørelsen af den skattepligtige indkomst. Hvis realisationssaldoen efter årets modregning fortsat er positiv, fremføres den positive restsaldo til efterfølgende indkomstår. En positiv saldo kan alene fremføres til et senere indkomstår, i det omfang den ikke kan rummes i et tidligere års tab. Hvis saldoen fortsat er positiv efter afståelse af ejendommen, medregnes et beløb svarende til den positive restsaldo ved </w:t>
            </w:r>
            <w:r w:rsidRPr="00815B3E">
              <w:rPr>
                <w:rFonts w:eastAsia="Calibri" w:cs="Times New Roman"/>
                <w:bCs/>
                <w:color w:val="000000" w:themeColor="text1"/>
                <w:szCs w:val="24"/>
              </w:rPr>
              <w:lastRenderedPageBreak/>
              <w:t>opgørelsen af den skattepligtige indkomst i afståelsesåret.</w:t>
            </w:r>
          </w:p>
          <w:p w14:paraId="53BF56A1" w14:textId="77777777" w:rsidR="00F90CAD" w:rsidRPr="00815B3E" w:rsidRDefault="00F90CAD" w:rsidP="00F90CAD">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Stk. 3. </w:t>
            </w:r>
            <w:r w:rsidRPr="00815B3E">
              <w:rPr>
                <w:rFonts w:eastAsia="Calibri" w:cs="Times New Roman"/>
                <w:bCs/>
                <w:color w:val="000000" w:themeColor="text1"/>
                <w:szCs w:val="24"/>
              </w:rPr>
              <w:t xml:space="preserve">Hvis realisationssaldoen er negativ, modregnes den i indkomstårets fortjeneste på ejendommen opgjort efter lagerprincippet, jf. § 14 A. Alene den del af fortjenesten på ejendommen, som resterer efter modregning, medregnes ved opgørelsen af den skattepligtige indkomst. Hvis realisationssaldoen efter årets modregning fortsat er negativ, fremføres restsaldoen til efterfølgende indkomstår. En negativ saldo kan alene fremføres til et senere indkomstår, i det omfang den ikke kan rummes i et tidligere års fortjeneste. Hvis saldoen fortsat er negativ ved afståelse af ejendommen, fratrækkes et beløb svarende til den negative restsaldo ved opgørelsen af den skattepligtige indkomst i afståelsesåret. </w:t>
            </w:r>
          </w:p>
          <w:p w14:paraId="6E6B3C99" w14:textId="77777777" w:rsidR="00F90CAD" w:rsidRPr="00815B3E" w:rsidRDefault="00F90CAD" w:rsidP="00F90CAD">
            <w:pPr>
              <w:ind w:firstLine="284"/>
              <w:rPr>
                <w:rFonts w:eastAsia="Calibri" w:cs="Times New Roman"/>
                <w:bCs/>
                <w:color w:val="000000" w:themeColor="text1"/>
                <w:szCs w:val="24"/>
              </w:rPr>
            </w:pPr>
            <w:r w:rsidRPr="00815B3E">
              <w:rPr>
                <w:rFonts w:eastAsia="Calibri" w:cs="Times New Roman"/>
                <w:bCs/>
                <w:i/>
                <w:iCs/>
                <w:color w:val="000000" w:themeColor="text1"/>
                <w:szCs w:val="24"/>
              </w:rPr>
              <w:t xml:space="preserve"> </w:t>
            </w:r>
          </w:p>
          <w:p w14:paraId="230098D1" w14:textId="77777777" w:rsidR="00F90CAD" w:rsidRPr="00613864" w:rsidRDefault="00F90CAD" w:rsidP="00F90CAD">
            <w:pPr>
              <w:jc w:val="center"/>
              <w:rPr>
                <w:rFonts w:eastAsia="Calibri" w:cs="Times New Roman"/>
                <w:bCs/>
                <w:i/>
                <w:iCs/>
                <w:color w:val="000000" w:themeColor="text1"/>
                <w:szCs w:val="24"/>
              </w:rPr>
            </w:pPr>
            <w:r w:rsidRPr="00613864">
              <w:rPr>
                <w:rFonts w:eastAsia="Calibri" w:cs="Times New Roman"/>
                <w:bCs/>
                <w:i/>
                <w:iCs/>
                <w:color w:val="000000" w:themeColor="text1"/>
                <w:szCs w:val="24"/>
              </w:rPr>
              <w:t>Kapitel 4. Ikrafttrædelse m.v.</w:t>
            </w:r>
            <w:r w:rsidRPr="005D57A9">
              <w:rPr>
                <w:rFonts w:cs="Times New Roman"/>
                <w:bCs/>
                <w:color w:val="000000" w:themeColor="text1"/>
                <w:szCs w:val="24"/>
              </w:rPr>
              <w:t>«</w:t>
            </w:r>
          </w:p>
          <w:p w14:paraId="744D1AF7" w14:textId="77777777" w:rsidR="00F90CAD" w:rsidRPr="00815B3E" w:rsidRDefault="00F90CAD" w:rsidP="00613864">
            <w:pPr>
              <w:spacing w:after="240"/>
              <w:contextualSpacing/>
              <w:mirrorIndents/>
              <w:jc w:val="center"/>
              <w:rPr>
                <w:rFonts w:cs="Times New Roman"/>
                <w:color w:val="000000" w:themeColor="text1"/>
                <w:szCs w:val="24"/>
              </w:rPr>
            </w:pPr>
          </w:p>
        </w:tc>
      </w:tr>
      <w:tr w:rsidR="00F90CAD" w:rsidRPr="00815B3E" w14:paraId="24BEE4D6" w14:textId="77777777" w:rsidTr="00613864">
        <w:tc>
          <w:tcPr>
            <w:tcW w:w="3610" w:type="dxa"/>
          </w:tcPr>
          <w:p w14:paraId="22815C9F" w14:textId="77777777" w:rsidR="00F90CAD" w:rsidRPr="00815B3E" w:rsidRDefault="00F90CAD" w:rsidP="00613864">
            <w:pPr>
              <w:spacing w:after="240"/>
              <w:contextualSpacing/>
              <w:mirrorIndents/>
              <w:rPr>
                <w:rFonts w:cs="Times New Roman"/>
                <w:b/>
                <w:color w:val="000000" w:themeColor="text1"/>
                <w:szCs w:val="24"/>
              </w:rPr>
            </w:pPr>
          </w:p>
        </w:tc>
        <w:tc>
          <w:tcPr>
            <w:tcW w:w="3608" w:type="dxa"/>
          </w:tcPr>
          <w:p w14:paraId="57CB13AE" w14:textId="77777777" w:rsidR="00F90CAD" w:rsidRPr="00815B3E" w:rsidRDefault="00F90CAD" w:rsidP="00613864">
            <w:pPr>
              <w:spacing w:after="240"/>
              <w:contextualSpacing/>
              <w:mirrorIndents/>
              <w:jc w:val="center"/>
              <w:rPr>
                <w:rFonts w:cs="Times New Roman"/>
                <w:color w:val="000000" w:themeColor="text1"/>
                <w:szCs w:val="24"/>
              </w:rPr>
            </w:pPr>
          </w:p>
        </w:tc>
      </w:tr>
      <w:tr w:rsidR="00F90CAD" w:rsidRPr="00815B3E" w14:paraId="554F4566" w14:textId="77777777" w:rsidTr="00613864">
        <w:tc>
          <w:tcPr>
            <w:tcW w:w="3610" w:type="dxa"/>
          </w:tcPr>
          <w:p w14:paraId="0A51AC0D" w14:textId="77777777" w:rsidR="00F90CAD" w:rsidRPr="00815B3E" w:rsidRDefault="00F90CAD" w:rsidP="00613864">
            <w:pPr>
              <w:spacing w:after="240"/>
              <w:contextualSpacing/>
              <w:mirrorIndents/>
              <w:rPr>
                <w:rFonts w:cs="Times New Roman"/>
                <w:b/>
                <w:color w:val="000000" w:themeColor="text1"/>
                <w:szCs w:val="24"/>
              </w:rPr>
            </w:pPr>
          </w:p>
        </w:tc>
        <w:tc>
          <w:tcPr>
            <w:tcW w:w="3608" w:type="dxa"/>
          </w:tcPr>
          <w:p w14:paraId="7A421C94" w14:textId="77777777" w:rsidR="00F90CAD" w:rsidRPr="00815B3E" w:rsidRDefault="00F90CAD" w:rsidP="00613864">
            <w:pPr>
              <w:spacing w:after="240"/>
              <w:contextualSpacing/>
              <w:mirrorIndents/>
              <w:jc w:val="center"/>
              <w:rPr>
                <w:rFonts w:cs="Times New Roman"/>
                <w:color w:val="000000" w:themeColor="text1"/>
                <w:szCs w:val="24"/>
              </w:rPr>
            </w:pPr>
          </w:p>
        </w:tc>
      </w:tr>
      <w:tr w:rsidR="00F90CAD" w:rsidRPr="00815B3E" w14:paraId="543C68F5" w14:textId="77777777" w:rsidTr="00613864">
        <w:tc>
          <w:tcPr>
            <w:tcW w:w="3610" w:type="dxa"/>
          </w:tcPr>
          <w:p w14:paraId="7063E906" w14:textId="77777777" w:rsidR="00F90CAD" w:rsidRPr="00815B3E" w:rsidRDefault="00F90CAD" w:rsidP="00613864">
            <w:pPr>
              <w:spacing w:after="240"/>
              <w:contextualSpacing/>
              <w:mirrorIndents/>
              <w:rPr>
                <w:rFonts w:cs="Times New Roman"/>
                <w:b/>
                <w:color w:val="000000" w:themeColor="text1"/>
                <w:szCs w:val="24"/>
              </w:rPr>
            </w:pPr>
          </w:p>
        </w:tc>
        <w:tc>
          <w:tcPr>
            <w:tcW w:w="3608" w:type="dxa"/>
          </w:tcPr>
          <w:p w14:paraId="43EF73DB" w14:textId="77777777" w:rsidR="00F90CAD" w:rsidRPr="00815B3E" w:rsidRDefault="00F90CAD" w:rsidP="00613864">
            <w:pPr>
              <w:spacing w:after="240"/>
              <w:contextualSpacing/>
              <w:mirrorIndents/>
              <w:jc w:val="center"/>
              <w:rPr>
                <w:rFonts w:cs="Times New Roman"/>
                <w:color w:val="000000" w:themeColor="text1"/>
                <w:szCs w:val="24"/>
              </w:rPr>
            </w:pPr>
          </w:p>
        </w:tc>
      </w:tr>
      <w:tr w:rsidR="00E909DA" w:rsidRPr="00815B3E" w14:paraId="28567BBC" w14:textId="77777777" w:rsidTr="00613864">
        <w:tc>
          <w:tcPr>
            <w:tcW w:w="3610" w:type="dxa"/>
          </w:tcPr>
          <w:p w14:paraId="73A29917" w14:textId="77777777" w:rsidR="00F90CAD" w:rsidRDefault="00F90CAD" w:rsidP="00613864">
            <w:pPr>
              <w:spacing w:after="240"/>
              <w:contextualSpacing/>
              <w:mirrorIndents/>
              <w:rPr>
                <w:rFonts w:cs="Times New Roman"/>
                <w:b/>
                <w:color w:val="000000" w:themeColor="text1"/>
                <w:szCs w:val="24"/>
              </w:rPr>
            </w:pPr>
          </w:p>
          <w:p w14:paraId="5BC3E06C" w14:textId="77777777" w:rsidR="00F90CAD" w:rsidRDefault="00F90CAD" w:rsidP="00613864">
            <w:pPr>
              <w:spacing w:after="240"/>
              <w:contextualSpacing/>
              <w:mirrorIndents/>
              <w:rPr>
                <w:rFonts w:cs="Times New Roman"/>
                <w:b/>
                <w:color w:val="000000" w:themeColor="text1"/>
                <w:szCs w:val="24"/>
              </w:rPr>
            </w:pPr>
          </w:p>
          <w:p w14:paraId="0E5BE139" w14:textId="77777777" w:rsidR="00F90CAD" w:rsidRDefault="00F90CAD" w:rsidP="00613864">
            <w:pPr>
              <w:spacing w:after="240"/>
              <w:contextualSpacing/>
              <w:mirrorIndents/>
              <w:rPr>
                <w:rFonts w:cs="Times New Roman"/>
                <w:b/>
                <w:color w:val="000000" w:themeColor="text1"/>
                <w:szCs w:val="24"/>
              </w:rPr>
            </w:pPr>
          </w:p>
          <w:p w14:paraId="139EE77B" w14:textId="77777777" w:rsidR="00F90CAD" w:rsidRDefault="00F90CAD" w:rsidP="00613864">
            <w:pPr>
              <w:spacing w:after="240"/>
              <w:contextualSpacing/>
              <w:mirrorIndents/>
              <w:rPr>
                <w:rFonts w:cs="Times New Roman"/>
                <w:b/>
                <w:color w:val="000000" w:themeColor="text1"/>
                <w:szCs w:val="24"/>
              </w:rPr>
            </w:pPr>
          </w:p>
          <w:p w14:paraId="284C1215" w14:textId="77777777" w:rsidR="00F90CAD" w:rsidRDefault="00F90CAD" w:rsidP="00613864">
            <w:pPr>
              <w:spacing w:after="240"/>
              <w:contextualSpacing/>
              <w:mirrorIndents/>
              <w:rPr>
                <w:rFonts w:cs="Times New Roman"/>
                <w:b/>
                <w:color w:val="000000" w:themeColor="text1"/>
                <w:szCs w:val="24"/>
              </w:rPr>
            </w:pPr>
          </w:p>
          <w:p w14:paraId="07E6F3A3" w14:textId="77777777" w:rsidR="00F90CAD" w:rsidRDefault="00F90CAD" w:rsidP="00613864">
            <w:pPr>
              <w:spacing w:after="240"/>
              <w:contextualSpacing/>
              <w:mirrorIndents/>
              <w:rPr>
                <w:rFonts w:cs="Times New Roman"/>
                <w:b/>
                <w:color w:val="000000" w:themeColor="text1"/>
                <w:szCs w:val="24"/>
              </w:rPr>
            </w:pPr>
          </w:p>
          <w:p w14:paraId="7B6AD6A0" w14:textId="77777777" w:rsidR="00F90CAD" w:rsidRDefault="00F90CAD" w:rsidP="00613864">
            <w:pPr>
              <w:spacing w:after="240"/>
              <w:contextualSpacing/>
              <w:mirrorIndents/>
              <w:rPr>
                <w:rFonts w:cs="Times New Roman"/>
                <w:b/>
                <w:color w:val="000000" w:themeColor="text1"/>
                <w:szCs w:val="24"/>
              </w:rPr>
            </w:pPr>
          </w:p>
          <w:p w14:paraId="6755EB4F" w14:textId="77777777" w:rsidR="00F90CAD" w:rsidRDefault="00F90CAD" w:rsidP="00613864">
            <w:pPr>
              <w:spacing w:after="240"/>
              <w:contextualSpacing/>
              <w:mirrorIndents/>
              <w:rPr>
                <w:rFonts w:cs="Times New Roman"/>
                <w:b/>
                <w:color w:val="000000" w:themeColor="text1"/>
                <w:szCs w:val="24"/>
              </w:rPr>
            </w:pPr>
          </w:p>
          <w:p w14:paraId="07979FFC" w14:textId="77777777" w:rsidR="00F90CAD" w:rsidRDefault="00F90CAD" w:rsidP="00613864">
            <w:pPr>
              <w:spacing w:after="240"/>
              <w:contextualSpacing/>
              <w:mirrorIndents/>
              <w:rPr>
                <w:rFonts w:cs="Times New Roman"/>
                <w:b/>
                <w:color w:val="000000" w:themeColor="text1"/>
                <w:szCs w:val="24"/>
              </w:rPr>
            </w:pPr>
          </w:p>
          <w:p w14:paraId="002B78FD" w14:textId="77777777" w:rsidR="00F90CAD" w:rsidRDefault="00F90CAD" w:rsidP="00613864">
            <w:pPr>
              <w:spacing w:after="240"/>
              <w:contextualSpacing/>
              <w:mirrorIndents/>
              <w:rPr>
                <w:rFonts w:cs="Times New Roman"/>
                <w:b/>
                <w:color w:val="000000" w:themeColor="text1"/>
                <w:szCs w:val="24"/>
              </w:rPr>
            </w:pPr>
          </w:p>
          <w:p w14:paraId="3351E445" w14:textId="1ECD2461" w:rsidR="00E909DA" w:rsidRPr="00815B3E" w:rsidRDefault="00F90CAD" w:rsidP="00613864">
            <w:pPr>
              <w:spacing w:after="240"/>
              <w:contextualSpacing/>
              <w:mirrorIndents/>
              <w:rPr>
                <w:rFonts w:cs="Times New Roman"/>
                <w:b/>
                <w:color w:val="000000" w:themeColor="text1"/>
                <w:szCs w:val="24"/>
              </w:rPr>
            </w:pPr>
            <w:r w:rsidRPr="00F90CAD">
              <w:rPr>
                <w:rFonts w:cs="Times New Roman"/>
                <w:b/>
                <w:color w:val="000000" w:themeColor="text1"/>
                <w:szCs w:val="24"/>
              </w:rPr>
              <w:t xml:space="preserve">§ 1. </w:t>
            </w:r>
            <w:r w:rsidRPr="00255CB9">
              <w:rPr>
                <w:rFonts w:cs="Times New Roman"/>
                <w:bCs/>
                <w:color w:val="000000" w:themeColor="text1"/>
                <w:szCs w:val="24"/>
              </w:rPr>
              <w:t xml:space="preserve">Efter reglerne i denne lov kan skattemæssig afskrivning foretages </w:t>
            </w:r>
            <w:r w:rsidRPr="00255CB9">
              <w:rPr>
                <w:rFonts w:cs="Times New Roman"/>
                <w:bCs/>
                <w:color w:val="000000" w:themeColor="text1"/>
                <w:szCs w:val="24"/>
              </w:rPr>
              <w:lastRenderedPageBreak/>
              <w:t>på udgifter til anskaffelse og forbedring af aktiver, der benyttes erhvervsmæssigt af den skattepligtige, samt på visse andre udgifter.</w:t>
            </w:r>
          </w:p>
        </w:tc>
        <w:tc>
          <w:tcPr>
            <w:tcW w:w="3608" w:type="dxa"/>
          </w:tcPr>
          <w:p w14:paraId="67AF0B1F" w14:textId="77777777" w:rsidR="00E909DA" w:rsidRPr="00815B3E" w:rsidRDefault="00E909DA" w:rsidP="00613864">
            <w:pPr>
              <w:spacing w:after="240"/>
              <w:contextualSpacing/>
              <w:mirrorIndents/>
              <w:jc w:val="center"/>
              <w:rPr>
                <w:rFonts w:cs="Times New Roman"/>
                <w:color w:val="000000" w:themeColor="text1"/>
                <w:szCs w:val="24"/>
              </w:rPr>
            </w:pPr>
          </w:p>
          <w:p w14:paraId="414A9F38" w14:textId="4E28E796" w:rsidR="00E909DA" w:rsidRDefault="00E909DA" w:rsidP="00613864">
            <w:pPr>
              <w:spacing w:after="240"/>
              <w:contextualSpacing/>
              <w:mirrorIndents/>
              <w:jc w:val="center"/>
              <w:rPr>
                <w:rFonts w:cs="Times New Roman"/>
                <w:b/>
                <w:color w:val="000000" w:themeColor="text1"/>
                <w:szCs w:val="24"/>
              </w:rPr>
            </w:pPr>
            <w:r w:rsidRPr="00815B3E">
              <w:rPr>
                <w:rFonts w:cs="Times New Roman"/>
                <w:b/>
                <w:color w:val="000000" w:themeColor="text1"/>
                <w:szCs w:val="24"/>
              </w:rPr>
              <w:t>§ 2</w:t>
            </w:r>
          </w:p>
          <w:p w14:paraId="12493778" w14:textId="77777777" w:rsidR="00F90CAD" w:rsidRPr="00815B3E" w:rsidRDefault="00F90CAD" w:rsidP="00613864">
            <w:pPr>
              <w:spacing w:after="240"/>
              <w:contextualSpacing/>
              <w:mirrorIndents/>
              <w:jc w:val="center"/>
              <w:rPr>
                <w:rFonts w:cs="Times New Roman"/>
                <w:b/>
                <w:color w:val="000000" w:themeColor="text1"/>
                <w:szCs w:val="24"/>
              </w:rPr>
            </w:pPr>
          </w:p>
          <w:p w14:paraId="791BF47F" w14:textId="77777777" w:rsidR="00F90CAD" w:rsidRPr="00815B3E" w:rsidRDefault="00F90CAD" w:rsidP="00F90CAD">
            <w:pPr>
              <w:rPr>
                <w:rFonts w:eastAsia="Calibri" w:cs="Times New Roman"/>
                <w:color w:val="000000" w:themeColor="text1"/>
                <w:szCs w:val="24"/>
              </w:rPr>
            </w:pPr>
            <w:r w:rsidRPr="00815B3E">
              <w:rPr>
                <w:rFonts w:eastAsia="Calibri" w:cs="Times New Roman"/>
                <w:color w:val="000000" w:themeColor="text1"/>
                <w:szCs w:val="24"/>
              </w:rPr>
              <w:t xml:space="preserve">I afskrivningsloven, jf. lovbekendtgørelse nr. 242 af 18. februar 2021, som ændret ved </w:t>
            </w:r>
            <w:r>
              <w:rPr>
                <w:rFonts w:eastAsia="Calibri" w:cs="Times New Roman"/>
                <w:color w:val="000000" w:themeColor="text1"/>
                <w:szCs w:val="24"/>
              </w:rPr>
              <w:t xml:space="preserve">§ 1 i </w:t>
            </w:r>
            <w:r w:rsidRPr="00815B3E">
              <w:rPr>
                <w:rFonts w:eastAsia="Calibri" w:cs="Times New Roman"/>
                <w:color w:val="000000" w:themeColor="text1"/>
                <w:szCs w:val="24"/>
              </w:rPr>
              <w:t xml:space="preserve">lov nr. </w:t>
            </w:r>
            <w:r>
              <w:rPr>
                <w:rFonts w:eastAsia="Calibri" w:cs="Times New Roman"/>
                <w:color w:val="000000" w:themeColor="text1"/>
                <w:szCs w:val="24"/>
              </w:rPr>
              <w:t>672 af 19. april 2021 og § 1 i lov nr. 2193 af 30. november 2021</w:t>
            </w:r>
            <w:r w:rsidRPr="00815B3E">
              <w:rPr>
                <w:rFonts w:eastAsia="Calibri" w:cs="Times New Roman"/>
                <w:color w:val="000000" w:themeColor="text1"/>
                <w:szCs w:val="24"/>
              </w:rPr>
              <w:t>, foretages følgende ændring:</w:t>
            </w:r>
          </w:p>
          <w:p w14:paraId="407FA00D" w14:textId="77777777" w:rsidR="00F90CAD" w:rsidRPr="00815B3E" w:rsidRDefault="00F90CAD" w:rsidP="00F90CAD">
            <w:pPr>
              <w:rPr>
                <w:rFonts w:eastAsia="Calibri" w:cs="Times New Roman"/>
                <w:color w:val="000000" w:themeColor="text1"/>
                <w:szCs w:val="24"/>
              </w:rPr>
            </w:pPr>
          </w:p>
          <w:p w14:paraId="7B2BEC8F" w14:textId="77777777" w:rsidR="00F90CAD" w:rsidRPr="00815B3E" w:rsidRDefault="00F90CAD" w:rsidP="00F90CAD">
            <w:pPr>
              <w:rPr>
                <w:rFonts w:cs="Times New Roman"/>
                <w:color w:val="000000" w:themeColor="text1"/>
                <w:szCs w:val="24"/>
              </w:rPr>
            </w:pPr>
            <w:r w:rsidRPr="00815B3E">
              <w:rPr>
                <w:rFonts w:cs="Times New Roman"/>
                <w:b/>
                <w:color w:val="000000" w:themeColor="text1"/>
                <w:szCs w:val="24"/>
              </w:rPr>
              <w:t>1.</w:t>
            </w:r>
            <w:r w:rsidRPr="00815B3E">
              <w:rPr>
                <w:rFonts w:cs="Times New Roman"/>
                <w:color w:val="000000" w:themeColor="text1"/>
                <w:szCs w:val="24"/>
              </w:rPr>
              <w:t xml:space="preserve"> I </w:t>
            </w:r>
            <w:r w:rsidRPr="00815B3E">
              <w:rPr>
                <w:rFonts w:cs="Times New Roman"/>
                <w:i/>
                <w:iCs/>
                <w:color w:val="000000" w:themeColor="text1"/>
                <w:szCs w:val="24"/>
              </w:rPr>
              <w:t>§ 1</w:t>
            </w:r>
            <w:r w:rsidRPr="00815B3E">
              <w:rPr>
                <w:rFonts w:cs="Times New Roman"/>
                <w:color w:val="000000" w:themeColor="text1"/>
                <w:szCs w:val="24"/>
              </w:rPr>
              <w:t xml:space="preserve"> indsættes som</w:t>
            </w:r>
            <w:r>
              <w:rPr>
                <w:rFonts w:cs="Times New Roman"/>
                <w:color w:val="000000" w:themeColor="text1"/>
                <w:szCs w:val="24"/>
              </w:rPr>
              <w:t xml:space="preserve"> </w:t>
            </w:r>
            <w:r>
              <w:rPr>
                <w:rFonts w:cs="Times New Roman"/>
                <w:i/>
                <w:iCs/>
                <w:color w:val="000000" w:themeColor="text1"/>
                <w:szCs w:val="24"/>
              </w:rPr>
              <w:t>stk. 2</w:t>
            </w:r>
            <w:r w:rsidRPr="00815B3E">
              <w:rPr>
                <w:rFonts w:cs="Times New Roman"/>
                <w:color w:val="000000" w:themeColor="text1"/>
                <w:szCs w:val="24"/>
              </w:rPr>
              <w:t>:</w:t>
            </w:r>
          </w:p>
          <w:p w14:paraId="5F1F21FC" w14:textId="77777777" w:rsidR="00F90CAD" w:rsidRPr="00815B3E" w:rsidRDefault="00F90CAD" w:rsidP="00F90CAD">
            <w:pPr>
              <w:ind w:firstLine="284"/>
              <w:rPr>
                <w:rFonts w:eastAsia="Calibri" w:cs="Times New Roman"/>
                <w:bCs/>
                <w:color w:val="000000" w:themeColor="text1"/>
                <w:szCs w:val="24"/>
              </w:rPr>
            </w:pPr>
            <w:r w:rsidRPr="00815B3E">
              <w:rPr>
                <w:rFonts w:eastAsia="Calibri" w:cs="Times New Roman"/>
                <w:bCs/>
                <w:i/>
                <w:iCs/>
                <w:color w:val="000000" w:themeColor="text1"/>
                <w:szCs w:val="24"/>
              </w:rPr>
              <w:lastRenderedPageBreak/>
              <w:t xml:space="preserve">”Stk. 2.  </w:t>
            </w:r>
            <w:r w:rsidRPr="00815B3E">
              <w:rPr>
                <w:rFonts w:eastAsia="Calibri" w:cs="Times New Roman"/>
                <w:bCs/>
                <w:color w:val="000000" w:themeColor="text1"/>
                <w:szCs w:val="24"/>
              </w:rPr>
              <w:t>Der kan ikke foretages skattemæssig afskrivning på udgifter til anskaffelse, ombygning eller forbedring af aktiver vedrørende ejendomme, der lagerbeskattes efter ejendomsavancebeskatningslovens kapitel 3.”</w:t>
            </w:r>
          </w:p>
          <w:p w14:paraId="156394F7" w14:textId="77777777" w:rsidR="00E909DA" w:rsidRPr="00815B3E" w:rsidRDefault="00E909DA" w:rsidP="00613864">
            <w:pPr>
              <w:spacing w:after="240"/>
              <w:contextualSpacing/>
              <w:mirrorIndents/>
              <w:rPr>
                <w:rFonts w:cs="Times New Roman"/>
                <w:color w:val="000000" w:themeColor="text1"/>
                <w:szCs w:val="24"/>
              </w:rPr>
            </w:pPr>
          </w:p>
        </w:tc>
      </w:tr>
      <w:tr w:rsidR="00E909DA" w:rsidRPr="00815B3E" w14:paraId="52D211A5" w14:textId="77777777" w:rsidTr="00613864">
        <w:tc>
          <w:tcPr>
            <w:tcW w:w="3610" w:type="dxa"/>
          </w:tcPr>
          <w:p w14:paraId="0636978B" w14:textId="77777777" w:rsidR="00674763" w:rsidRDefault="00674763" w:rsidP="00613864">
            <w:pPr>
              <w:spacing w:after="240"/>
              <w:jc w:val="left"/>
              <w:rPr>
                <w:b/>
                <w:bCs/>
              </w:rPr>
            </w:pPr>
          </w:p>
          <w:p w14:paraId="45941538" w14:textId="77777777" w:rsidR="00674763" w:rsidRDefault="00674763" w:rsidP="00613864">
            <w:pPr>
              <w:spacing w:after="240"/>
              <w:jc w:val="left"/>
              <w:rPr>
                <w:b/>
                <w:bCs/>
              </w:rPr>
            </w:pPr>
          </w:p>
          <w:p w14:paraId="72D48C07" w14:textId="77777777" w:rsidR="00674763" w:rsidRDefault="00674763" w:rsidP="00613864">
            <w:pPr>
              <w:spacing w:after="240"/>
              <w:jc w:val="left"/>
            </w:pPr>
            <w:r w:rsidRPr="00255CB9">
              <w:rPr>
                <w:b/>
                <w:bCs/>
              </w:rPr>
              <w:t>§ 7</w:t>
            </w:r>
            <w:r>
              <w:rPr>
                <w:b/>
                <w:bCs/>
              </w:rPr>
              <w:t>.</w:t>
            </w:r>
            <w:r>
              <w:t xml:space="preserve"> Investorfradraget opgøres på grundlag af den skattepligtiges anskaffelsessum efter aktieavancebeskatningsloven for aktier som nævnt i § 2, stk. 1, nr. 1, og andele som nævnt i § 2, stk. 1, nr. 2. Fradraget udgør 59 pct. af anskaffelsessummen, jf. dog stk. 2. </w:t>
            </w:r>
          </w:p>
          <w:p w14:paraId="6D027384" w14:textId="6E55F63E" w:rsidR="00674763" w:rsidRPr="00815B3E" w:rsidRDefault="00674763" w:rsidP="00613864">
            <w:pPr>
              <w:spacing w:after="240"/>
              <w:jc w:val="left"/>
              <w:rPr>
                <w:rFonts w:eastAsia="Calibri" w:cs="Times New Roman"/>
                <w:b/>
                <w:color w:val="000000" w:themeColor="text1"/>
                <w:szCs w:val="24"/>
              </w:rPr>
            </w:pPr>
            <w:r>
              <w:t>Stk. 2. Ved direkte erhvervelse af aktier som nævnt i § 2, stk. 1, nr. 1, kan fradraget højst beregnes på grundlag af en anskaffelsessum på 400.000 kr. i hvert af indkomstårene 2019-2022 og 800.000 kr. i 2023 og senere indkomstår. Ved indirekte erhvervelse af aktier ved erhvervelse af andele i investorfradragsfonde som nævnt i § 2, stk. 1, nr. 2, kan fradraget højst beregnes på grundlag af en anskaffelsessum på 125.000 kr. i hvert af indkomstårene 2019-2022 og 250.000 kr. i 2023 og senere indkomstår.</w:t>
            </w:r>
          </w:p>
        </w:tc>
        <w:tc>
          <w:tcPr>
            <w:tcW w:w="3608" w:type="dxa"/>
          </w:tcPr>
          <w:p w14:paraId="12168AF6" w14:textId="77777777" w:rsidR="00E909DA" w:rsidRPr="00815B3E" w:rsidRDefault="00E909DA" w:rsidP="00613864">
            <w:pPr>
              <w:spacing w:after="240"/>
              <w:contextualSpacing/>
              <w:mirrorIndents/>
              <w:jc w:val="center"/>
              <w:rPr>
                <w:rFonts w:cs="Times New Roman"/>
                <w:color w:val="000000" w:themeColor="text1"/>
                <w:szCs w:val="24"/>
              </w:rPr>
            </w:pPr>
          </w:p>
          <w:p w14:paraId="05DDCA86" w14:textId="77777777" w:rsidR="00E909DA" w:rsidRPr="00815B3E" w:rsidRDefault="00E909DA" w:rsidP="00613864">
            <w:pPr>
              <w:spacing w:after="240"/>
              <w:contextualSpacing/>
              <w:mirrorIndents/>
              <w:jc w:val="center"/>
              <w:rPr>
                <w:rFonts w:cs="Times New Roman"/>
                <w:b/>
                <w:color w:val="000000" w:themeColor="text1"/>
                <w:szCs w:val="24"/>
              </w:rPr>
            </w:pPr>
            <w:r w:rsidRPr="00815B3E">
              <w:rPr>
                <w:rFonts w:cs="Times New Roman"/>
                <w:b/>
                <w:color w:val="000000" w:themeColor="text1"/>
                <w:szCs w:val="24"/>
              </w:rPr>
              <w:t>§ 3</w:t>
            </w:r>
          </w:p>
          <w:p w14:paraId="28AF3146" w14:textId="77777777" w:rsidR="00E909DA" w:rsidRPr="00815B3E" w:rsidRDefault="00E909DA" w:rsidP="00613864">
            <w:pPr>
              <w:spacing w:after="240"/>
              <w:contextualSpacing/>
              <w:mirrorIndents/>
              <w:rPr>
                <w:rFonts w:cs="Times New Roman"/>
                <w:color w:val="000000" w:themeColor="text1"/>
                <w:szCs w:val="24"/>
              </w:rPr>
            </w:pPr>
          </w:p>
          <w:p w14:paraId="7805EB7B" w14:textId="77777777" w:rsidR="00674763" w:rsidRPr="00815B3E" w:rsidRDefault="00674763" w:rsidP="00674763">
            <w:pPr>
              <w:spacing w:line="288" w:lineRule="auto"/>
              <w:rPr>
                <w:b/>
                <w:i/>
                <w:color w:val="000000" w:themeColor="text1"/>
                <w:u w:val="single"/>
              </w:rPr>
            </w:pPr>
            <w:r w:rsidRPr="00815B3E">
              <w:rPr>
                <w:color w:val="000000" w:themeColor="text1"/>
              </w:rPr>
              <w:t>I investorfradragsloven, lov nr. 1707 af 27. december 2018, foretages følgende ændringer:</w:t>
            </w:r>
          </w:p>
          <w:p w14:paraId="1627B6A9" w14:textId="77777777" w:rsidR="00674763" w:rsidRPr="00815B3E" w:rsidRDefault="00674763" w:rsidP="00674763">
            <w:pPr>
              <w:spacing w:line="288" w:lineRule="auto"/>
              <w:rPr>
                <w:color w:val="000000" w:themeColor="text1"/>
              </w:rPr>
            </w:pPr>
          </w:p>
          <w:p w14:paraId="0C97374E" w14:textId="77777777" w:rsidR="00674763" w:rsidRPr="00815B3E" w:rsidRDefault="00674763" w:rsidP="00674763">
            <w:pPr>
              <w:spacing w:line="288" w:lineRule="auto"/>
              <w:rPr>
                <w:color w:val="000000" w:themeColor="text1"/>
              </w:rPr>
            </w:pPr>
            <w:r w:rsidRPr="00815B3E">
              <w:rPr>
                <w:b/>
                <w:color w:val="000000" w:themeColor="text1"/>
              </w:rPr>
              <w:t xml:space="preserve">1. </w:t>
            </w:r>
            <w:r w:rsidRPr="00815B3E">
              <w:rPr>
                <w:color w:val="000000" w:themeColor="text1"/>
              </w:rPr>
              <w:t xml:space="preserve">I </w:t>
            </w:r>
            <w:r w:rsidRPr="00815B3E">
              <w:rPr>
                <w:i/>
                <w:color w:val="000000" w:themeColor="text1"/>
              </w:rPr>
              <w:t xml:space="preserve">§ 7, stk. 2, 1. pkt., </w:t>
            </w:r>
            <w:r w:rsidRPr="00815B3E">
              <w:rPr>
                <w:color w:val="000000" w:themeColor="text1"/>
              </w:rPr>
              <w:t xml:space="preserve">udgår ”i hvert af indkomstårene 2019-2022 og 800.000 kr. i 2023 og senere indkomstår.” </w:t>
            </w:r>
          </w:p>
          <w:p w14:paraId="417579E5" w14:textId="77777777" w:rsidR="00E909DA" w:rsidRPr="00815B3E" w:rsidRDefault="00E909DA" w:rsidP="00255CB9">
            <w:pPr>
              <w:rPr>
                <w:rFonts w:cs="Times New Roman"/>
                <w:color w:val="000000" w:themeColor="text1"/>
                <w:szCs w:val="24"/>
              </w:rPr>
            </w:pPr>
          </w:p>
        </w:tc>
      </w:tr>
      <w:tr w:rsidR="00E909DA" w:rsidRPr="00815B3E" w14:paraId="6AA9F4D3" w14:textId="77777777" w:rsidTr="00613864">
        <w:tc>
          <w:tcPr>
            <w:tcW w:w="3610" w:type="dxa"/>
          </w:tcPr>
          <w:p w14:paraId="60862D71" w14:textId="77777777" w:rsidR="00E909DA" w:rsidRDefault="00E909DA" w:rsidP="00613864">
            <w:pPr>
              <w:spacing w:after="240"/>
              <w:contextualSpacing/>
              <w:mirrorIndents/>
              <w:rPr>
                <w:rFonts w:eastAsia="Calibri" w:cs="Times New Roman"/>
                <w:b/>
                <w:color w:val="000000" w:themeColor="text1"/>
                <w:szCs w:val="24"/>
              </w:rPr>
            </w:pPr>
            <w:r w:rsidRPr="00815B3E">
              <w:rPr>
                <w:rFonts w:eastAsia="Calibri" w:cs="Times New Roman"/>
                <w:b/>
                <w:color w:val="000000" w:themeColor="text1"/>
                <w:szCs w:val="24"/>
              </w:rPr>
              <w:t>§ </w:t>
            </w:r>
            <w:r w:rsidR="00674763">
              <w:rPr>
                <w:rFonts w:eastAsia="Calibri" w:cs="Times New Roman"/>
                <w:b/>
                <w:color w:val="000000" w:themeColor="text1"/>
                <w:szCs w:val="24"/>
              </w:rPr>
              <w:t>7</w:t>
            </w:r>
            <w:r w:rsidRPr="00815B3E">
              <w:rPr>
                <w:rFonts w:eastAsia="Calibri" w:cs="Times New Roman"/>
                <w:b/>
                <w:color w:val="000000" w:themeColor="text1"/>
                <w:szCs w:val="24"/>
              </w:rPr>
              <w:t>.</w:t>
            </w:r>
            <w:r w:rsidR="00674763">
              <w:rPr>
                <w:rFonts w:eastAsia="Calibri" w:cs="Times New Roman"/>
                <w:b/>
                <w:color w:val="000000" w:themeColor="text1"/>
                <w:szCs w:val="24"/>
              </w:rPr>
              <w:t xml:space="preserve"> stk. 2, 2. pkt.</w:t>
            </w:r>
          </w:p>
          <w:p w14:paraId="5FFBBD68" w14:textId="168A4496" w:rsidR="00674763" w:rsidRPr="00815B3E" w:rsidRDefault="00674763" w:rsidP="00613864">
            <w:pPr>
              <w:spacing w:after="240"/>
              <w:contextualSpacing/>
              <w:mirrorIndents/>
              <w:rPr>
                <w:rFonts w:eastAsia="Calibri" w:cs="Times New Roman"/>
                <w:color w:val="000000" w:themeColor="text1"/>
                <w:szCs w:val="24"/>
              </w:rPr>
            </w:pPr>
            <w:r>
              <w:t xml:space="preserve">Ved indirekte erhvervelse af aktier ved erhvervelse af andele i investorfradragsfonde som nævnt i § 2, </w:t>
            </w:r>
            <w:r>
              <w:lastRenderedPageBreak/>
              <w:t>stk. 1, nr. 2, kan fradraget højst beregnes på grundlag af en anskaffelsessum på 125.000 kr. i hvert af indkomstårene 2019-2022 og 250.000 kr. i 2023 og senere indkomstår.</w:t>
            </w:r>
          </w:p>
        </w:tc>
        <w:tc>
          <w:tcPr>
            <w:tcW w:w="3608" w:type="dxa"/>
          </w:tcPr>
          <w:p w14:paraId="579E3026" w14:textId="1724EF5B" w:rsidR="00E909DA" w:rsidRPr="00255CB9" w:rsidRDefault="00674763" w:rsidP="00255CB9">
            <w:pPr>
              <w:rPr>
                <w:rFonts w:eastAsia="Calibri" w:cs="Times New Roman"/>
                <w:b/>
                <w:color w:val="000000" w:themeColor="text1"/>
                <w:szCs w:val="24"/>
              </w:rPr>
            </w:pPr>
            <w:r w:rsidRPr="00815B3E">
              <w:rPr>
                <w:b/>
                <w:bCs/>
                <w:color w:val="000000" w:themeColor="text1"/>
              </w:rPr>
              <w:lastRenderedPageBreak/>
              <w:t xml:space="preserve">2. </w:t>
            </w:r>
            <w:r w:rsidRPr="00815B3E">
              <w:rPr>
                <w:color w:val="000000" w:themeColor="text1"/>
              </w:rPr>
              <w:t xml:space="preserve">I </w:t>
            </w:r>
            <w:r w:rsidRPr="00815B3E">
              <w:rPr>
                <w:i/>
                <w:iCs/>
                <w:color w:val="000000" w:themeColor="text1"/>
              </w:rPr>
              <w:t xml:space="preserve">§ 7, stk. 2, 2. pkt., </w:t>
            </w:r>
            <w:r w:rsidRPr="00815B3E">
              <w:rPr>
                <w:color w:val="000000" w:themeColor="text1"/>
              </w:rPr>
              <w:t>udgår ”i hvert af indkomstårene 2019-2022 og 250.000 i 2023 og senere indkomstår.”</w:t>
            </w:r>
          </w:p>
        </w:tc>
      </w:tr>
      <w:tr w:rsidR="00E909DA" w:rsidRPr="00815B3E" w14:paraId="30F68B5F" w14:textId="77777777" w:rsidTr="00613864">
        <w:tc>
          <w:tcPr>
            <w:tcW w:w="3610" w:type="dxa"/>
          </w:tcPr>
          <w:p w14:paraId="6FDAFCB0" w14:textId="77777777" w:rsidR="00674763" w:rsidRDefault="00674763" w:rsidP="00613864">
            <w:pPr>
              <w:spacing w:after="240"/>
              <w:contextualSpacing/>
              <w:mirrorIndents/>
              <w:rPr>
                <w:rFonts w:cs="Times New Roman"/>
                <w:b/>
                <w:color w:val="000000" w:themeColor="text1"/>
                <w:szCs w:val="24"/>
              </w:rPr>
            </w:pPr>
          </w:p>
          <w:p w14:paraId="53EF4F00" w14:textId="77777777" w:rsidR="00674763" w:rsidRDefault="00674763" w:rsidP="00613864">
            <w:pPr>
              <w:spacing w:after="240"/>
              <w:contextualSpacing/>
              <w:mirrorIndents/>
              <w:rPr>
                <w:rFonts w:cs="Times New Roman"/>
                <w:b/>
                <w:color w:val="000000" w:themeColor="text1"/>
                <w:szCs w:val="24"/>
              </w:rPr>
            </w:pPr>
          </w:p>
          <w:p w14:paraId="5B8B0E2F" w14:textId="77777777" w:rsidR="00674763" w:rsidRDefault="00674763" w:rsidP="00613864">
            <w:pPr>
              <w:spacing w:after="240"/>
              <w:contextualSpacing/>
              <w:mirrorIndents/>
              <w:rPr>
                <w:rFonts w:cs="Times New Roman"/>
                <w:b/>
                <w:color w:val="000000" w:themeColor="text1"/>
                <w:szCs w:val="24"/>
              </w:rPr>
            </w:pPr>
          </w:p>
          <w:p w14:paraId="609A969E" w14:textId="77777777" w:rsidR="00674763" w:rsidRDefault="00674763" w:rsidP="00613864">
            <w:pPr>
              <w:spacing w:after="240"/>
              <w:contextualSpacing/>
              <w:mirrorIndents/>
              <w:rPr>
                <w:rFonts w:cs="Times New Roman"/>
                <w:b/>
                <w:color w:val="000000" w:themeColor="text1"/>
                <w:szCs w:val="24"/>
              </w:rPr>
            </w:pPr>
          </w:p>
          <w:p w14:paraId="4AF54A98" w14:textId="77777777" w:rsidR="00674763" w:rsidRDefault="00674763" w:rsidP="00613864">
            <w:pPr>
              <w:spacing w:after="240"/>
              <w:contextualSpacing/>
              <w:mirrorIndents/>
              <w:rPr>
                <w:rFonts w:cs="Times New Roman"/>
                <w:b/>
                <w:color w:val="000000" w:themeColor="text1"/>
                <w:szCs w:val="24"/>
              </w:rPr>
            </w:pPr>
          </w:p>
          <w:p w14:paraId="67FA754F" w14:textId="77777777" w:rsidR="00674763" w:rsidRDefault="00674763" w:rsidP="00613864">
            <w:pPr>
              <w:spacing w:after="240"/>
              <w:contextualSpacing/>
              <w:mirrorIndents/>
              <w:rPr>
                <w:rFonts w:cs="Times New Roman"/>
                <w:b/>
                <w:color w:val="000000" w:themeColor="text1"/>
                <w:szCs w:val="24"/>
              </w:rPr>
            </w:pPr>
          </w:p>
          <w:p w14:paraId="3B06B153" w14:textId="5EEF874E" w:rsidR="00E909DA" w:rsidRDefault="00674763" w:rsidP="00613864">
            <w:pPr>
              <w:spacing w:after="240"/>
              <w:contextualSpacing/>
              <w:mirrorIndents/>
              <w:rPr>
                <w:rFonts w:cs="Times New Roman"/>
                <w:bCs/>
                <w:color w:val="000000" w:themeColor="text1"/>
                <w:szCs w:val="24"/>
              </w:rPr>
            </w:pPr>
            <w:r w:rsidRPr="00674763">
              <w:rPr>
                <w:rFonts w:cs="Times New Roman"/>
                <w:b/>
                <w:color w:val="000000" w:themeColor="text1"/>
                <w:szCs w:val="24"/>
              </w:rPr>
              <w:t xml:space="preserve">8. </w:t>
            </w:r>
            <w:r w:rsidRPr="00255CB9">
              <w:rPr>
                <w:rFonts w:cs="Times New Roman"/>
                <w:bCs/>
                <w:color w:val="000000" w:themeColor="text1"/>
                <w:szCs w:val="24"/>
              </w:rPr>
              <w:t>Aktiver og passiver, der er i behold hos det indskydende selskab ved fusionen, behandles ved opgørelsen af det modtagende selskabs skattepligtige indkomst, som om de var anskaffet af dette på de tidspunkter, hvor de er erhvervet af det indskydende selskab, og for de anskaffelsessummer, hvortil de er erhvervet af dette selskab</w:t>
            </w:r>
            <w:r>
              <w:rPr>
                <w:rFonts w:cs="Times New Roman"/>
                <w:bCs/>
                <w:color w:val="000000" w:themeColor="text1"/>
                <w:szCs w:val="24"/>
              </w:rPr>
              <w:t>…</w:t>
            </w:r>
          </w:p>
          <w:p w14:paraId="15222663" w14:textId="21AA1B54" w:rsidR="00674763" w:rsidRPr="00255CB9" w:rsidRDefault="00674763" w:rsidP="00613864">
            <w:pPr>
              <w:spacing w:after="240"/>
              <w:contextualSpacing/>
              <w:mirrorIndents/>
              <w:rPr>
                <w:rFonts w:cs="Times New Roman"/>
                <w:bCs/>
                <w:i/>
                <w:iCs/>
                <w:color w:val="000000" w:themeColor="text1"/>
                <w:szCs w:val="24"/>
              </w:rPr>
            </w:pPr>
            <w:r w:rsidRPr="00255CB9">
              <w:rPr>
                <w:rFonts w:cs="Times New Roman"/>
                <w:bCs/>
                <w:i/>
                <w:iCs/>
                <w:color w:val="000000" w:themeColor="text1"/>
                <w:szCs w:val="24"/>
              </w:rPr>
              <w:t>Stk. 3</w:t>
            </w:r>
            <w:r>
              <w:rPr>
                <w:rFonts w:cs="Times New Roman"/>
                <w:bCs/>
                <w:i/>
                <w:iCs/>
                <w:color w:val="000000" w:themeColor="text1"/>
                <w:szCs w:val="24"/>
              </w:rPr>
              <w:t>.</w:t>
            </w:r>
            <w:r w:rsidRPr="00674763">
              <w:rPr>
                <w:rFonts w:cs="Times New Roman"/>
                <w:bCs/>
                <w:i/>
                <w:iCs/>
                <w:color w:val="000000" w:themeColor="text1"/>
                <w:szCs w:val="24"/>
              </w:rPr>
              <w:t xml:space="preserve"> </w:t>
            </w:r>
            <w:r w:rsidRPr="00255CB9">
              <w:rPr>
                <w:rFonts w:cs="Times New Roman"/>
                <w:bCs/>
                <w:color w:val="000000" w:themeColor="text1"/>
                <w:szCs w:val="24"/>
              </w:rPr>
              <w:t xml:space="preserve">Har det indskydende selskab ved opgørelsen af den skattepligtige indkomst medregnet </w:t>
            </w:r>
            <w:proofErr w:type="spellStart"/>
            <w:r w:rsidRPr="00255CB9">
              <w:rPr>
                <w:rFonts w:cs="Times New Roman"/>
                <w:bCs/>
                <w:color w:val="000000" w:themeColor="text1"/>
                <w:szCs w:val="24"/>
              </w:rPr>
              <w:t>urealiseret</w:t>
            </w:r>
            <w:proofErr w:type="spellEnd"/>
            <w:r w:rsidRPr="00255CB9">
              <w:rPr>
                <w:rFonts w:cs="Times New Roman"/>
                <w:bCs/>
                <w:color w:val="000000" w:themeColor="text1"/>
                <w:szCs w:val="24"/>
              </w:rPr>
              <w:t xml:space="preserve"> fortjeneste og tab på værdipapirer, behandles værdipapirerne ved opgørelsen af det modtagende selskabs skattepligtige indkomst, som om fortjeneste og tab var medregnet ved indkomstopgørelsen hos det modtagende selskab.</w:t>
            </w:r>
          </w:p>
        </w:tc>
        <w:tc>
          <w:tcPr>
            <w:tcW w:w="3608" w:type="dxa"/>
          </w:tcPr>
          <w:p w14:paraId="49FE1FFA" w14:textId="77777777" w:rsidR="00674763" w:rsidRPr="00815B3E" w:rsidRDefault="00674763" w:rsidP="00674763">
            <w:pPr>
              <w:jc w:val="center"/>
              <w:rPr>
                <w:rFonts w:eastAsia="Calibri" w:cs="Times New Roman"/>
                <w:b/>
                <w:color w:val="000000" w:themeColor="text1"/>
                <w:szCs w:val="24"/>
              </w:rPr>
            </w:pPr>
            <w:r w:rsidRPr="00815B3E">
              <w:rPr>
                <w:rFonts w:eastAsia="Calibri" w:cs="Times New Roman"/>
                <w:b/>
                <w:color w:val="000000" w:themeColor="text1"/>
                <w:szCs w:val="24"/>
              </w:rPr>
              <w:t xml:space="preserve">§ </w:t>
            </w:r>
            <w:r>
              <w:rPr>
                <w:rFonts w:eastAsia="Calibri" w:cs="Times New Roman"/>
                <w:b/>
                <w:color w:val="000000" w:themeColor="text1"/>
                <w:szCs w:val="24"/>
              </w:rPr>
              <w:t>4</w:t>
            </w:r>
          </w:p>
          <w:p w14:paraId="351D9AC7" w14:textId="77777777" w:rsidR="00674763" w:rsidRPr="00815B3E" w:rsidRDefault="00674763" w:rsidP="00674763">
            <w:pPr>
              <w:jc w:val="center"/>
              <w:rPr>
                <w:rFonts w:eastAsia="Calibri" w:cs="Times New Roman"/>
                <w:color w:val="000000" w:themeColor="text1"/>
                <w:szCs w:val="24"/>
              </w:rPr>
            </w:pPr>
          </w:p>
          <w:p w14:paraId="4BC79FC8" w14:textId="77777777" w:rsidR="00674763" w:rsidRPr="00815B3E" w:rsidRDefault="00674763" w:rsidP="00674763">
            <w:pPr>
              <w:rPr>
                <w:color w:val="000000" w:themeColor="text1"/>
              </w:rPr>
            </w:pPr>
            <w:r w:rsidRPr="00815B3E">
              <w:rPr>
                <w:rFonts w:eastAsia="Calibri" w:cs="Times New Roman"/>
                <w:color w:val="000000" w:themeColor="text1"/>
                <w:szCs w:val="24"/>
              </w:rPr>
              <w:t xml:space="preserve">I fusionsskatteloven, jf. lovbekendtgørelse nr. </w:t>
            </w:r>
            <w:r>
              <w:rPr>
                <w:rFonts w:eastAsia="Calibri" w:cs="Times New Roman"/>
                <w:color w:val="000000" w:themeColor="text1"/>
                <w:szCs w:val="24"/>
              </w:rPr>
              <w:t>743 af 23. april 2021,</w:t>
            </w:r>
            <w:r w:rsidRPr="00815B3E">
              <w:rPr>
                <w:rFonts w:eastAsia="Calibri" w:cs="Times New Roman"/>
                <w:color w:val="000000" w:themeColor="text1"/>
                <w:szCs w:val="24"/>
              </w:rPr>
              <w:t xml:space="preserve"> foretages følgende ændring:</w:t>
            </w:r>
          </w:p>
          <w:p w14:paraId="44498D2E" w14:textId="77777777" w:rsidR="00674763" w:rsidRPr="00815B3E" w:rsidRDefault="00674763" w:rsidP="00674763">
            <w:pPr>
              <w:ind w:firstLine="284"/>
              <w:rPr>
                <w:rFonts w:eastAsia="Calibri" w:cs="Times New Roman"/>
                <w:color w:val="000000" w:themeColor="text1"/>
                <w:szCs w:val="24"/>
              </w:rPr>
            </w:pPr>
          </w:p>
          <w:p w14:paraId="54B9E92A" w14:textId="77777777" w:rsidR="00674763" w:rsidRPr="00815B3E" w:rsidRDefault="00674763" w:rsidP="00674763">
            <w:pPr>
              <w:rPr>
                <w:rFonts w:eastAsia="Calibri" w:cs="Times New Roman"/>
                <w:color w:val="000000" w:themeColor="text1"/>
                <w:szCs w:val="24"/>
              </w:rPr>
            </w:pPr>
            <w:r w:rsidRPr="00815B3E">
              <w:rPr>
                <w:rFonts w:eastAsia="Calibri" w:cs="Times New Roman"/>
                <w:b/>
                <w:bCs/>
                <w:color w:val="000000" w:themeColor="text1"/>
                <w:szCs w:val="24"/>
              </w:rPr>
              <w:t>1.</w:t>
            </w:r>
            <w:r w:rsidRPr="00815B3E">
              <w:rPr>
                <w:rFonts w:eastAsia="Calibri" w:cs="Times New Roman"/>
                <w:color w:val="000000" w:themeColor="text1"/>
                <w:szCs w:val="24"/>
              </w:rPr>
              <w:t xml:space="preserve"> I </w:t>
            </w:r>
            <w:r w:rsidRPr="00613864">
              <w:rPr>
                <w:rFonts w:eastAsia="Calibri" w:cs="Times New Roman"/>
                <w:i/>
                <w:iCs/>
                <w:color w:val="000000" w:themeColor="text1"/>
                <w:szCs w:val="24"/>
              </w:rPr>
              <w:t>§ 8</w:t>
            </w:r>
            <w:r>
              <w:rPr>
                <w:rFonts w:eastAsia="Calibri" w:cs="Times New Roman"/>
                <w:i/>
                <w:iCs/>
                <w:color w:val="000000" w:themeColor="text1"/>
                <w:szCs w:val="24"/>
              </w:rPr>
              <w:t>, stk. 3,</w:t>
            </w:r>
            <w:r w:rsidRPr="00815B3E">
              <w:rPr>
                <w:rFonts w:eastAsia="Calibri" w:cs="Times New Roman"/>
                <w:color w:val="000000" w:themeColor="text1"/>
                <w:szCs w:val="24"/>
              </w:rPr>
              <w:t xml:space="preserve"> indsættes </w:t>
            </w:r>
            <w:r>
              <w:rPr>
                <w:rFonts w:eastAsia="Calibri" w:cs="Times New Roman"/>
                <w:color w:val="000000" w:themeColor="text1"/>
                <w:szCs w:val="24"/>
              </w:rPr>
              <w:t>efter 1. pkt. som nyt punktum</w:t>
            </w:r>
            <w:r w:rsidRPr="00815B3E">
              <w:rPr>
                <w:rFonts w:eastAsia="Calibri" w:cs="Times New Roman"/>
                <w:color w:val="000000" w:themeColor="text1"/>
                <w:szCs w:val="24"/>
              </w:rPr>
              <w:t>:</w:t>
            </w:r>
          </w:p>
          <w:p w14:paraId="7B32C6B9" w14:textId="77777777" w:rsidR="00674763" w:rsidRPr="00815B3E" w:rsidRDefault="00674763" w:rsidP="00674763">
            <w:pPr>
              <w:rPr>
                <w:rFonts w:eastAsia="Calibri" w:cs="Times New Roman"/>
                <w:color w:val="000000" w:themeColor="text1"/>
                <w:szCs w:val="24"/>
              </w:rPr>
            </w:pPr>
            <w:r w:rsidRPr="00815B3E">
              <w:rPr>
                <w:rFonts w:eastAsia="Calibri" w:cs="Times New Roman"/>
                <w:bCs/>
                <w:color w:val="000000" w:themeColor="text1"/>
                <w:szCs w:val="24"/>
              </w:rPr>
              <w:t xml:space="preserve">”Har det indskydende selskab ved opgørelsen af den skattepligtige indkomst medregnet </w:t>
            </w:r>
            <w:proofErr w:type="spellStart"/>
            <w:r w:rsidRPr="00815B3E">
              <w:rPr>
                <w:rFonts w:eastAsia="Calibri" w:cs="Times New Roman"/>
                <w:bCs/>
                <w:color w:val="000000" w:themeColor="text1"/>
                <w:szCs w:val="24"/>
              </w:rPr>
              <w:t>urealiseret</w:t>
            </w:r>
            <w:proofErr w:type="spellEnd"/>
            <w:r w:rsidRPr="00815B3E">
              <w:rPr>
                <w:rFonts w:eastAsia="Calibri" w:cs="Times New Roman"/>
                <w:bCs/>
                <w:color w:val="000000" w:themeColor="text1"/>
                <w:szCs w:val="24"/>
              </w:rPr>
              <w:t xml:space="preserve"> fortjeneste og tab på ejendomme (lagerbeskattede ejendomme), behandles ejendommene ved opgørelsen af det modtagende selskabs skattepligtige indkomst, som om fortjeneste og tab var medregnet ved indkomstopgørelsen hos det modtagende selskab. </w:t>
            </w:r>
            <w:r w:rsidRPr="00815B3E">
              <w:rPr>
                <w:color w:val="000000" w:themeColor="text1"/>
              </w:rPr>
              <w:t>Det modtagende selskab indtræder i en positiv realisationssaldo, jf. ejendomsavancebeskatningslovens § 14 D</w:t>
            </w:r>
            <w:r>
              <w:rPr>
                <w:color w:val="000000" w:themeColor="text1"/>
              </w:rPr>
              <w:t>, stk. 2, herunder en positiv realisationssaldo, der opgøres ved overgang til lagerbeskatning i forbindelse med fusionen</w:t>
            </w:r>
            <w:r w:rsidRPr="00815B3E">
              <w:rPr>
                <w:color w:val="000000" w:themeColor="text1"/>
              </w:rPr>
              <w:t>.</w:t>
            </w:r>
            <w:r w:rsidRPr="00815B3E">
              <w:rPr>
                <w:rFonts w:eastAsia="Calibri" w:cs="Times New Roman"/>
                <w:color w:val="000000" w:themeColor="text1"/>
                <w:szCs w:val="24"/>
              </w:rPr>
              <w:t>”</w:t>
            </w:r>
          </w:p>
          <w:p w14:paraId="5A274E5F" w14:textId="77777777" w:rsidR="00E909DA" w:rsidRPr="00815B3E" w:rsidRDefault="00E909DA" w:rsidP="00613864">
            <w:pPr>
              <w:spacing w:after="240"/>
              <w:contextualSpacing/>
              <w:mirrorIndents/>
              <w:rPr>
                <w:rFonts w:cs="Times New Roman"/>
                <w:b/>
                <w:color w:val="000000" w:themeColor="text1"/>
                <w:szCs w:val="24"/>
              </w:rPr>
            </w:pPr>
          </w:p>
        </w:tc>
      </w:tr>
      <w:tr w:rsidR="00E909DA" w:rsidRPr="00815B3E" w14:paraId="2B3B5D61" w14:textId="77777777" w:rsidTr="00613864">
        <w:tc>
          <w:tcPr>
            <w:tcW w:w="3610" w:type="dxa"/>
          </w:tcPr>
          <w:p w14:paraId="17EC674C" w14:textId="77777777" w:rsidR="00674763" w:rsidRDefault="00674763" w:rsidP="00613864">
            <w:pPr>
              <w:spacing w:after="240"/>
              <w:contextualSpacing/>
              <w:mirrorIndents/>
              <w:rPr>
                <w:rFonts w:cs="Times New Roman"/>
                <w:b/>
                <w:color w:val="000000" w:themeColor="text1"/>
                <w:szCs w:val="24"/>
              </w:rPr>
            </w:pPr>
          </w:p>
          <w:p w14:paraId="2F3E7F09" w14:textId="77777777" w:rsidR="00674763" w:rsidRDefault="00674763" w:rsidP="00613864">
            <w:pPr>
              <w:spacing w:after="240"/>
              <w:contextualSpacing/>
              <w:mirrorIndents/>
              <w:rPr>
                <w:rFonts w:cs="Times New Roman"/>
                <w:b/>
                <w:color w:val="000000" w:themeColor="text1"/>
                <w:szCs w:val="24"/>
              </w:rPr>
            </w:pPr>
          </w:p>
          <w:p w14:paraId="08441A7A" w14:textId="77777777" w:rsidR="00674763" w:rsidRDefault="00674763" w:rsidP="00613864">
            <w:pPr>
              <w:spacing w:after="240"/>
              <w:contextualSpacing/>
              <w:mirrorIndents/>
              <w:rPr>
                <w:rFonts w:cs="Times New Roman"/>
                <w:b/>
                <w:color w:val="000000" w:themeColor="text1"/>
                <w:szCs w:val="24"/>
              </w:rPr>
            </w:pPr>
          </w:p>
          <w:p w14:paraId="3892A5B5" w14:textId="77777777" w:rsidR="00674763" w:rsidRDefault="00674763" w:rsidP="00613864">
            <w:pPr>
              <w:spacing w:after="240"/>
              <w:contextualSpacing/>
              <w:mirrorIndents/>
              <w:rPr>
                <w:rFonts w:cs="Times New Roman"/>
                <w:b/>
                <w:color w:val="000000" w:themeColor="text1"/>
                <w:szCs w:val="24"/>
              </w:rPr>
            </w:pPr>
          </w:p>
          <w:p w14:paraId="2E212298" w14:textId="77777777" w:rsidR="00674763" w:rsidRDefault="00674763" w:rsidP="00613864">
            <w:pPr>
              <w:spacing w:after="240"/>
              <w:contextualSpacing/>
              <w:mirrorIndents/>
              <w:rPr>
                <w:rFonts w:cs="Times New Roman"/>
                <w:b/>
                <w:color w:val="000000" w:themeColor="text1"/>
                <w:szCs w:val="24"/>
              </w:rPr>
            </w:pPr>
          </w:p>
          <w:p w14:paraId="4CD64231" w14:textId="77777777" w:rsidR="00674763" w:rsidRDefault="00674763" w:rsidP="00613864">
            <w:pPr>
              <w:spacing w:after="240"/>
              <w:contextualSpacing/>
              <w:mirrorIndents/>
              <w:rPr>
                <w:rFonts w:cs="Times New Roman"/>
                <w:b/>
                <w:color w:val="000000" w:themeColor="text1"/>
                <w:szCs w:val="24"/>
              </w:rPr>
            </w:pPr>
          </w:p>
          <w:p w14:paraId="3005D7A6" w14:textId="77777777" w:rsidR="00674763" w:rsidRDefault="00674763" w:rsidP="00613864">
            <w:pPr>
              <w:spacing w:after="240"/>
              <w:contextualSpacing/>
              <w:mirrorIndents/>
              <w:rPr>
                <w:rFonts w:cs="Times New Roman"/>
                <w:b/>
                <w:color w:val="000000" w:themeColor="text1"/>
                <w:szCs w:val="24"/>
              </w:rPr>
            </w:pPr>
          </w:p>
          <w:p w14:paraId="7F493763" w14:textId="77777777" w:rsidR="00674763" w:rsidRDefault="00674763" w:rsidP="00613864">
            <w:pPr>
              <w:spacing w:after="240"/>
              <w:contextualSpacing/>
              <w:mirrorIndents/>
              <w:rPr>
                <w:rFonts w:cs="Times New Roman"/>
                <w:b/>
                <w:color w:val="000000" w:themeColor="text1"/>
                <w:szCs w:val="24"/>
              </w:rPr>
            </w:pPr>
          </w:p>
          <w:p w14:paraId="7D4D94D3" w14:textId="6B2ED90A" w:rsidR="00E909DA" w:rsidRPr="00815B3E" w:rsidRDefault="00674763" w:rsidP="00613864">
            <w:pPr>
              <w:spacing w:after="240"/>
              <w:contextualSpacing/>
              <w:mirrorIndents/>
              <w:rPr>
                <w:rFonts w:cs="Times New Roman"/>
                <w:b/>
                <w:color w:val="000000" w:themeColor="text1"/>
                <w:szCs w:val="24"/>
              </w:rPr>
            </w:pPr>
            <w:r w:rsidRPr="00674763">
              <w:rPr>
                <w:rFonts w:cs="Times New Roman"/>
                <w:b/>
                <w:color w:val="000000" w:themeColor="text1"/>
                <w:szCs w:val="24"/>
              </w:rPr>
              <w:lastRenderedPageBreak/>
              <w:t xml:space="preserve">§ 17 A. </w:t>
            </w:r>
            <w:r w:rsidRPr="00255CB9">
              <w:rPr>
                <w:rFonts w:cs="Times New Roman"/>
                <w:bCs/>
                <w:color w:val="000000" w:themeColor="text1"/>
                <w:szCs w:val="24"/>
              </w:rPr>
              <w:t>Ved opgørelsen af den skattepligtige indkomst kan udgifter til renter af skatter samt told- og forbrugsafgifter ikke fradrages bortset fra renter ved henstand efter § 36 i lov om afgift af dødsboer og gaver og § 12 i lov om beskatning af fortjeneste ved afståelse af fast ejendom.</w:t>
            </w:r>
          </w:p>
        </w:tc>
        <w:tc>
          <w:tcPr>
            <w:tcW w:w="3608" w:type="dxa"/>
          </w:tcPr>
          <w:p w14:paraId="2DD479D5" w14:textId="77777777" w:rsidR="00674763" w:rsidRDefault="00674763" w:rsidP="00674763">
            <w:pPr>
              <w:jc w:val="center"/>
              <w:rPr>
                <w:rFonts w:eastAsia="Calibri" w:cs="Times New Roman"/>
                <w:b/>
                <w:color w:val="000000" w:themeColor="text1"/>
                <w:szCs w:val="24"/>
              </w:rPr>
            </w:pPr>
          </w:p>
          <w:p w14:paraId="6A844864" w14:textId="4EFF28FE" w:rsidR="00674763" w:rsidRPr="00815B3E" w:rsidRDefault="00674763" w:rsidP="00674763">
            <w:pPr>
              <w:jc w:val="center"/>
              <w:rPr>
                <w:rFonts w:eastAsia="Calibri" w:cs="Times New Roman"/>
                <w:b/>
                <w:color w:val="000000" w:themeColor="text1"/>
                <w:szCs w:val="24"/>
              </w:rPr>
            </w:pPr>
            <w:r w:rsidRPr="00815B3E">
              <w:rPr>
                <w:rFonts w:eastAsia="Calibri" w:cs="Times New Roman"/>
                <w:b/>
                <w:color w:val="000000" w:themeColor="text1"/>
                <w:szCs w:val="24"/>
              </w:rPr>
              <w:t>§ 5</w:t>
            </w:r>
          </w:p>
          <w:p w14:paraId="6FDA08CF" w14:textId="77777777" w:rsidR="00674763" w:rsidRDefault="00674763" w:rsidP="00674763">
            <w:pPr>
              <w:ind w:firstLine="284"/>
              <w:rPr>
                <w:rFonts w:eastAsia="Calibri" w:cs="Times New Roman"/>
                <w:color w:val="000000" w:themeColor="text1"/>
                <w:szCs w:val="24"/>
              </w:rPr>
            </w:pPr>
          </w:p>
          <w:p w14:paraId="1A90CDEF" w14:textId="77777777" w:rsidR="00674763" w:rsidRDefault="00674763" w:rsidP="00674763">
            <w:pPr>
              <w:rPr>
                <w:rFonts w:eastAsia="Calibri" w:cs="Times New Roman"/>
                <w:color w:val="000000" w:themeColor="text1"/>
                <w:szCs w:val="24"/>
              </w:rPr>
            </w:pPr>
            <w:r>
              <w:rPr>
                <w:rFonts w:eastAsia="Calibri" w:cs="Times New Roman"/>
                <w:color w:val="000000" w:themeColor="text1"/>
                <w:szCs w:val="24"/>
              </w:rPr>
              <w:t>I ligningsloven, jf. lovbekendtgørelse nr. 1735 af 17. august 2021, som ændret senest ved § 3 i lov nr. 906 af 21. juni 2022, foretages følgende ændring:</w:t>
            </w:r>
          </w:p>
          <w:p w14:paraId="4039107B" w14:textId="77777777" w:rsidR="00674763" w:rsidRDefault="00674763" w:rsidP="00674763">
            <w:pPr>
              <w:rPr>
                <w:rFonts w:eastAsia="Calibri" w:cs="Times New Roman"/>
                <w:color w:val="000000" w:themeColor="text1"/>
                <w:szCs w:val="24"/>
              </w:rPr>
            </w:pPr>
          </w:p>
          <w:p w14:paraId="683A2389" w14:textId="77777777" w:rsidR="00674763" w:rsidRDefault="00674763" w:rsidP="00674763">
            <w:pPr>
              <w:rPr>
                <w:rFonts w:eastAsia="Calibri" w:cs="Times New Roman"/>
                <w:color w:val="000000" w:themeColor="text1"/>
                <w:szCs w:val="24"/>
              </w:rPr>
            </w:pPr>
            <w:r>
              <w:rPr>
                <w:rFonts w:eastAsia="Calibri" w:cs="Times New Roman"/>
                <w:color w:val="000000" w:themeColor="text1"/>
                <w:szCs w:val="24"/>
              </w:rPr>
              <w:t xml:space="preserve">I </w:t>
            </w:r>
            <w:r w:rsidRPr="00613864">
              <w:rPr>
                <w:rFonts w:eastAsia="Calibri" w:cs="Times New Roman"/>
                <w:i/>
                <w:iCs/>
                <w:color w:val="000000" w:themeColor="text1"/>
                <w:szCs w:val="24"/>
              </w:rPr>
              <w:t>§ 17 A</w:t>
            </w:r>
            <w:r>
              <w:rPr>
                <w:rFonts w:eastAsia="Calibri" w:cs="Times New Roman"/>
                <w:i/>
                <w:iCs/>
                <w:color w:val="000000" w:themeColor="text1"/>
                <w:szCs w:val="24"/>
              </w:rPr>
              <w:t>, stk. 1,</w:t>
            </w:r>
            <w:r>
              <w:rPr>
                <w:rFonts w:eastAsia="Calibri" w:cs="Times New Roman"/>
                <w:color w:val="000000" w:themeColor="text1"/>
                <w:szCs w:val="24"/>
              </w:rPr>
              <w:t xml:space="preserve"> ændres ”§ 12 i lov om beskatning af fortjeneste ved afståelse af fast ejendom” til: ”ejendomsavancebeskatningslovens § 12”.</w:t>
            </w:r>
          </w:p>
          <w:p w14:paraId="24535046" w14:textId="77777777" w:rsidR="00E909DA" w:rsidRPr="00815B3E" w:rsidRDefault="00E909DA" w:rsidP="00613864">
            <w:pPr>
              <w:spacing w:after="240"/>
              <w:contextualSpacing/>
              <w:mirrorIndents/>
              <w:rPr>
                <w:rFonts w:cs="Times New Roman"/>
                <w:b/>
                <w:color w:val="000000" w:themeColor="text1"/>
                <w:szCs w:val="24"/>
              </w:rPr>
            </w:pPr>
          </w:p>
        </w:tc>
      </w:tr>
      <w:tr w:rsidR="00674763" w:rsidRPr="00815B3E" w14:paraId="3314B6BA" w14:textId="77777777" w:rsidTr="00613864">
        <w:tc>
          <w:tcPr>
            <w:tcW w:w="3610" w:type="dxa"/>
          </w:tcPr>
          <w:p w14:paraId="5140D93A" w14:textId="77777777" w:rsidR="00674763" w:rsidRDefault="00674763" w:rsidP="00613864">
            <w:pPr>
              <w:spacing w:after="240"/>
              <w:contextualSpacing/>
              <w:mirrorIndents/>
              <w:rPr>
                <w:rFonts w:cs="Times New Roman"/>
                <w:b/>
                <w:color w:val="000000" w:themeColor="text1"/>
                <w:szCs w:val="24"/>
              </w:rPr>
            </w:pPr>
          </w:p>
          <w:p w14:paraId="393C2CB2" w14:textId="77777777" w:rsidR="00674763" w:rsidRDefault="00674763" w:rsidP="00613864">
            <w:pPr>
              <w:spacing w:after="240"/>
              <w:contextualSpacing/>
              <w:mirrorIndents/>
              <w:rPr>
                <w:rFonts w:cs="Times New Roman"/>
                <w:b/>
                <w:color w:val="000000" w:themeColor="text1"/>
                <w:szCs w:val="24"/>
              </w:rPr>
            </w:pPr>
          </w:p>
          <w:p w14:paraId="0457405A" w14:textId="77777777" w:rsidR="00674763" w:rsidRDefault="00674763" w:rsidP="00613864">
            <w:pPr>
              <w:spacing w:after="240"/>
              <w:contextualSpacing/>
              <w:mirrorIndents/>
              <w:rPr>
                <w:rFonts w:cs="Times New Roman"/>
                <w:b/>
                <w:color w:val="000000" w:themeColor="text1"/>
                <w:szCs w:val="24"/>
              </w:rPr>
            </w:pPr>
          </w:p>
          <w:p w14:paraId="6BD97E3D" w14:textId="77777777" w:rsidR="00674763" w:rsidRDefault="00674763" w:rsidP="00613864">
            <w:pPr>
              <w:spacing w:after="240"/>
              <w:contextualSpacing/>
              <w:mirrorIndents/>
              <w:rPr>
                <w:rFonts w:cs="Times New Roman"/>
                <w:b/>
                <w:color w:val="000000" w:themeColor="text1"/>
                <w:szCs w:val="24"/>
              </w:rPr>
            </w:pPr>
          </w:p>
          <w:p w14:paraId="78C43785" w14:textId="77777777" w:rsidR="00674763" w:rsidRDefault="00674763" w:rsidP="00613864">
            <w:pPr>
              <w:spacing w:after="240"/>
              <w:contextualSpacing/>
              <w:mirrorIndents/>
              <w:rPr>
                <w:rFonts w:cs="Times New Roman"/>
                <w:b/>
                <w:color w:val="000000" w:themeColor="text1"/>
                <w:szCs w:val="24"/>
              </w:rPr>
            </w:pPr>
          </w:p>
          <w:p w14:paraId="0D5DEFCC" w14:textId="77777777" w:rsidR="00674763" w:rsidRDefault="00674763" w:rsidP="00613864">
            <w:pPr>
              <w:spacing w:after="240"/>
              <w:contextualSpacing/>
              <w:mirrorIndents/>
              <w:rPr>
                <w:rFonts w:cs="Times New Roman"/>
                <w:b/>
                <w:color w:val="000000" w:themeColor="text1"/>
                <w:szCs w:val="24"/>
              </w:rPr>
            </w:pPr>
          </w:p>
          <w:p w14:paraId="126F0016" w14:textId="77777777" w:rsidR="00674763" w:rsidRDefault="00674763" w:rsidP="00613864">
            <w:pPr>
              <w:spacing w:after="240"/>
              <w:contextualSpacing/>
              <w:mirrorIndents/>
              <w:rPr>
                <w:rFonts w:cs="Times New Roman"/>
                <w:b/>
                <w:color w:val="000000" w:themeColor="text1"/>
                <w:szCs w:val="24"/>
              </w:rPr>
            </w:pPr>
          </w:p>
          <w:p w14:paraId="3C094F1A" w14:textId="77777777" w:rsidR="00674763" w:rsidRDefault="00674763" w:rsidP="00613864">
            <w:pPr>
              <w:spacing w:after="240"/>
              <w:contextualSpacing/>
              <w:mirrorIndents/>
              <w:rPr>
                <w:rFonts w:cs="Times New Roman"/>
                <w:b/>
                <w:color w:val="000000" w:themeColor="text1"/>
                <w:szCs w:val="24"/>
              </w:rPr>
            </w:pPr>
          </w:p>
          <w:p w14:paraId="6048CAC4" w14:textId="77777777" w:rsidR="00674763" w:rsidRDefault="00674763" w:rsidP="00613864">
            <w:pPr>
              <w:spacing w:after="240"/>
              <w:contextualSpacing/>
              <w:mirrorIndents/>
              <w:rPr>
                <w:rFonts w:cs="Times New Roman"/>
                <w:b/>
                <w:color w:val="000000" w:themeColor="text1"/>
                <w:szCs w:val="24"/>
              </w:rPr>
            </w:pPr>
          </w:p>
          <w:p w14:paraId="415F90B5" w14:textId="4C2C731C" w:rsidR="00674763" w:rsidRPr="00255CB9" w:rsidRDefault="00674763" w:rsidP="00613864">
            <w:pPr>
              <w:spacing w:after="240"/>
              <w:contextualSpacing/>
              <w:mirrorIndents/>
              <w:rPr>
                <w:rFonts w:cs="Times New Roman"/>
                <w:bCs/>
                <w:color w:val="000000" w:themeColor="text1"/>
                <w:szCs w:val="24"/>
              </w:rPr>
            </w:pPr>
            <w:r w:rsidRPr="00674763">
              <w:rPr>
                <w:rFonts w:cs="Times New Roman"/>
                <w:b/>
                <w:color w:val="000000" w:themeColor="text1"/>
                <w:szCs w:val="24"/>
              </w:rPr>
              <w:t xml:space="preserve">§ 2. </w:t>
            </w:r>
            <w:r w:rsidRPr="00255CB9">
              <w:rPr>
                <w:rFonts w:cs="Times New Roman"/>
                <w:bCs/>
                <w:color w:val="000000" w:themeColor="text1"/>
                <w:szCs w:val="24"/>
              </w:rPr>
              <w:t>Skattepligt i henhold til denne lov påhviler endvidere selskaber og foreninger m.v. som nævnt i § 1, stk. 1, der har hjemsted i udlandet, for så vidt de</w:t>
            </w:r>
          </w:p>
          <w:p w14:paraId="4CD6DC83" w14:textId="77777777" w:rsidR="00674763" w:rsidRPr="00255CB9" w:rsidRDefault="00674763" w:rsidP="00613864">
            <w:pPr>
              <w:spacing w:after="240"/>
              <w:contextualSpacing/>
              <w:mirrorIndents/>
              <w:rPr>
                <w:rFonts w:cs="Times New Roman"/>
                <w:bCs/>
                <w:color w:val="000000" w:themeColor="text1"/>
                <w:szCs w:val="24"/>
              </w:rPr>
            </w:pPr>
            <w:r w:rsidRPr="00255CB9">
              <w:rPr>
                <w:rFonts w:cs="Times New Roman"/>
                <w:bCs/>
                <w:color w:val="000000" w:themeColor="text1"/>
                <w:szCs w:val="24"/>
              </w:rPr>
              <w:t>a)…</w:t>
            </w:r>
          </w:p>
          <w:p w14:paraId="08F01D9A" w14:textId="771159D5" w:rsidR="00674763" w:rsidRPr="00815B3E" w:rsidRDefault="00674763" w:rsidP="00613864">
            <w:pPr>
              <w:spacing w:after="240"/>
              <w:contextualSpacing/>
              <w:mirrorIndents/>
              <w:rPr>
                <w:rFonts w:cs="Times New Roman"/>
                <w:b/>
                <w:color w:val="000000" w:themeColor="text1"/>
                <w:szCs w:val="24"/>
              </w:rPr>
            </w:pPr>
            <w:r w:rsidRPr="00255CB9">
              <w:rPr>
                <w:rFonts w:cs="Times New Roman"/>
                <w:bCs/>
                <w:color w:val="000000" w:themeColor="text1"/>
                <w:szCs w:val="24"/>
              </w:rPr>
              <w:t>b)</w:t>
            </w:r>
            <w:r>
              <w:rPr>
                <w:rFonts w:cs="Times New Roman"/>
                <w:bCs/>
                <w:color w:val="000000" w:themeColor="text1"/>
                <w:szCs w:val="24"/>
              </w:rPr>
              <w:t xml:space="preserve"> </w:t>
            </w:r>
            <w:r w:rsidRPr="00674763">
              <w:rPr>
                <w:rFonts w:cs="Times New Roman"/>
                <w:bCs/>
                <w:color w:val="000000" w:themeColor="text1"/>
                <w:szCs w:val="24"/>
              </w:rPr>
              <w:t>i egenskab af ejer, medejer, brugs- eller indtægtsnyder oppebærer indtægt af en her i landet beliggende fast ejendom. Skattepligten omfatter endvidere fortjeneste ved afståelse af fast ejendom omfattet af</w:t>
            </w:r>
            <w:r>
              <w:rPr>
                <w:rFonts w:cs="Times New Roman"/>
                <w:bCs/>
                <w:color w:val="000000" w:themeColor="text1"/>
                <w:szCs w:val="24"/>
              </w:rPr>
              <w:t xml:space="preserve"> </w:t>
            </w:r>
            <w:r w:rsidRPr="00674763">
              <w:rPr>
                <w:rFonts w:cs="Times New Roman"/>
                <w:bCs/>
                <w:color w:val="000000" w:themeColor="text1"/>
                <w:szCs w:val="24"/>
              </w:rPr>
              <w:t>ejendomsavancebeskatningsloven eller afskrivningslovens § 21,</w:t>
            </w:r>
          </w:p>
        </w:tc>
        <w:tc>
          <w:tcPr>
            <w:tcW w:w="3608" w:type="dxa"/>
          </w:tcPr>
          <w:p w14:paraId="3D25209C" w14:textId="77777777" w:rsidR="00674763" w:rsidRDefault="00674763" w:rsidP="00613864">
            <w:pPr>
              <w:spacing w:after="240"/>
              <w:contextualSpacing/>
              <w:mirrorIndents/>
              <w:rPr>
                <w:rFonts w:cs="Times New Roman"/>
                <w:b/>
                <w:color w:val="000000" w:themeColor="text1"/>
                <w:szCs w:val="24"/>
              </w:rPr>
            </w:pPr>
          </w:p>
          <w:p w14:paraId="5460CC0C" w14:textId="77777777" w:rsidR="00674763" w:rsidRPr="00815B3E" w:rsidRDefault="00674763" w:rsidP="00674763">
            <w:pPr>
              <w:jc w:val="center"/>
              <w:rPr>
                <w:rFonts w:eastAsia="Calibri" w:cs="Times New Roman"/>
                <w:b/>
                <w:color w:val="000000" w:themeColor="text1"/>
                <w:szCs w:val="24"/>
              </w:rPr>
            </w:pPr>
            <w:r w:rsidRPr="00815B3E">
              <w:rPr>
                <w:rFonts w:eastAsia="Calibri" w:cs="Times New Roman"/>
                <w:b/>
                <w:color w:val="000000" w:themeColor="text1"/>
                <w:szCs w:val="24"/>
              </w:rPr>
              <w:t xml:space="preserve">§ </w:t>
            </w:r>
            <w:r>
              <w:rPr>
                <w:rFonts w:eastAsia="Calibri" w:cs="Times New Roman"/>
                <w:b/>
                <w:color w:val="000000" w:themeColor="text1"/>
                <w:szCs w:val="24"/>
              </w:rPr>
              <w:t>6</w:t>
            </w:r>
          </w:p>
          <w:p w14:paraId="2080DE39" w14:textId="77777777" w:rsidR="00674763" w:rsidRPr="00815B3E" w:rsidRDefault="00674763" w:rsidP="00674763">
            <w:pPr>
              <w:jc w:val="center"/>
              <w:rPr>
                <w:rFonts w:eastAsia="Calibri" w:cs="Times New Roman"/>
                <w:color w:val="000000" w:themeColor="text1"/>
                <w:szCs w:val="24"/>
              </w:rPr>
            </w:pPr>
          </w:p>
          <w:p w14:paraId="0AD9FFD6" w14:textId="77777777" w:rsidR="00674763" w:rsidRPr="00815B3E" w:rsidRDefault="00674763" w:rsidP="00674763">
            <w:pPr>
              <w:rPr>
                <w:rFonts w:eastAsia="Calibri" w:cs="Times New Roman"/>
                <w:color w:val="000000" w:themeColor="text1"/>
                <w:szCs w:val="24"/>
              </w:rPr>
            </w:pPr>
            <w:r w:rsidRPr="00815B3E">
              <w:rPr>
                <w:rFonts w:eastAsia="Calibri" w:cs="Times New Roman"/>
                <w:color w:val="000000" w:themeColor="text1"/>
                <w:szCs w:val="24"/>
              </w:rPr>
              <w:t xml:space="preserve">I selskabsskatteloven, jf. lovbekendtgørelse nr. 251 af 22. februar 2021, som ændret senest ved </w:t>
            </w:r>
            <w:r>
              <w:rPr>
                <w:rFonts w:eastAsia="Calibri" w:cs="Times New Roman"/>
                <w:color w:val="000000" w:themeColor="text1"/>
                <w:szCs w:val="24"/>
              </w:rPr>
              <w:t>§ 1 i</w:t>
            </w:r>
            <w:r w:rsidRPr="00815B3E">
              <w:rPr>
                <w:rFonts w:eastAsia="Calibri" w:cs="Times New Roman"/>
                <w:color w:val="000000" w:themeColor="text1"/>
                <w:szCs w:val="24"/>
              </w:rPr>
              <w:t xml:space="preserve"> lov nr. </w:t>
            </w:r>
            <w:r>
              <w:rPr>
                <w:rFonts w:eastAsia="Calibri" w:cs="Times New Roman"/>
                <w:color w:val="000000" w:themeColor="text1"/>
                <w:szCs w:val="24"/>
              </w:rPr>
              <w:t>905 af 21. juni 2022</w:t>
            </w:r>
            <w:r w:rsidRPr="00815B3E">
              <w:rPr>
                <w:rFonts w:eastAsia="Calibri" w:cs="Times New Roman"/>
                <w:color w:val="000000" w:themeColor="text1"/>
                <w:szCs w:val="24"/>
              </w:rPr>
              <w:t>, foretages følgende ændring:</w:t>
            </w:r>
          </w:p>
          <w:p w14:paraId="68386106" w14:textId="77777777" w:rsidR="00674763" w:rsidRPr="00815B3E" w:rsidRDefault="00674763" w:rsidP="00674763">
            <w:pPr>
              <w:ind w:firstLine="284"/>
              <w:rPr>
                <w:rFonts w:eastAsia="Calibri" w:cs="Times New Roman"/>
                <w:color w:val="000000" w:themeColor="text1"/>
                <w:szCs w:val="24"/>
              </w:rPr>
            </w:pPr>
          </w:p>
          <w:p w14:paraId="55EF0A6E" w14:textId="77777777" w:rsidR="00674763" w:rsidRPr="00815B3E" w:rsidRDefault="00674763" w:rsidP="00674763">
            <w:pPr>
              <w:rPr>
                <w:rFonts w:cs="Times New Roman"/>
                <w:bCs/>
                <w:color w:val="000000" w:themeColor="text1"/>
                <w:szCs w:val="24"/>
              </w:rPr>
            </w:pPr>
            <w:r w:rsidRPr="00815B3E">
              <w:rPr>
                <w:rFonts w:cs="Times New Roman"/>
                <w:b/>
                <w:color w:val="000000" w:themeColor="text1"/>
                <w:szCs w:val="24"/>
              </w:rPr>
              <w:t xml:space="preserve">1. </w:t>
            </w:r>
            <w:r w:rsidRPr="00815B3E">
              <w:rPr>
                <w:rFonts w:cs="Times New Roman"/>
                <w:bCs/>
                <w:color w:val="000000" w:themeColor="text1"/>
                <w:szCs w:val="24"/>
              </w:rPr>
              <w:t xml:space="preserve">I </w:t>
            </w:r>
            <w:r w:rsidRPr="00815B3E">
              <w:rPr>
                <w:rFonts w:cs="Times New Roman"/>
                <w:bCs/>
                <w:i/>
                <w:iCs/>
                <w:color w:val="000000" w:themeColor="text1"/>
                <w:szCs w:val="24"/>
              </w:rPr>
              <w:t>§ 2, stk. 1, litra b</w:t>
            </w:r>
            <w:r>
              <w:rPr>
                <w:rFonts w:cs="Times New Roman"/>
                <w:bCs/>
                <w:i/>
                <w:iCs/>
                <w:color w:val="000000" w:themeColor="text1"/>
                <w:szCs w:val="24"/>
              </w:rPr>
              <w:t>, 2. pkt.</w:t>
            </w:r>
            <w:r w:rsidRPr="00815B3E">
              <w:rPr>
                <w:rFonts w:cs="Times New Roman"/>
                <w:bCs/>
                <w:color w:val="000000" w:themeColor="text1"/>
                <w:szCs w:val="24"/>
              </w:rPr>
              <w:t xml:space="preserve"> ændres</w:t>
            </w:r>
            <w:r w:rsidRPr="00815B3E">
              <w:rPr>
                <w:rFonts w:cs="Times New Roman"/>
                <w:b/>
                <w:color w:val="000000" w:themeColor="text1"/>
                <w:szCs w:val="24"/>
              </w:rPr>
              <w:t xml:space="preserve"> </w:t>
            </w:r>
            <w:r w:rsidRPr="00815B3E">
              <w:rPr>
                <w:rFonts w:cs="Times New Roman"/>
                <w:bCs/>
                <w:color w:val="000000" w:themeColor="text1"/>
                <w:szCs w:val="24"/>
              </w:rPr>
              <w:t>»ved afståelse af« til: ”på”</w:t>
            </w:r>
            <w:r>
              <w:rPr>
                <w:rFonts w:cs="Times New Roman"/>
                <w:bCs/>
                <w:color w:val="000000" w:themeColor="text1"/>
                <w:szCs w:val="24"/>
              </w:rPr>
              <w:t>.</w:t>
            </w:r>
          </w:p>
          <w:p w14:paraId="7EAC4D0C" w14:textId="1EB5BD1F" w:rsidR="00674763" w:rsidRPr="00815B3E" w:rsidRDefault="00674763" w:rsidP="00613864">
            <w:pPr>
              <w:spacing w:after="240"/>
              <w:contextualSpacing/>
              <w:mirrorIndents/>
              <w:rPr>
                <w:rFonts w:cs="Times New Roman"/>
                <w:b/>
                <w:color w:val="000000" w:themeColor="text1"/>
                <w:szCs w:val="24"/>
              </w:rPr>
            </w:pPr>
          </w:p>
        </w:tc>
      </w:tr>
      <w:tr w:rsidR="00674763" w:rsidRPr="00815B3E" w14:paraId="4815B336" w14:textId="77777777" w:rsidTr="00613864">
        <w:tc>
          <w:tcPr>
            <w:tcW w:w="3610" w:type="dxa"/>
          </w:tcPr>
          <w:p w14:paraId="06DDF929" w14:textId="77777777" w:rsidR="00674763" w:rsidRPr="00815B3E" w:rsidRDefault="00674763" w:rsidP="00613864">
            <w:pPr>
              <w:spacing w:after="240"/>
              <w:contextualSpacing/>
              <w:mirrorIndents/>
              <w:rPr>
                <w:rFonts w:cs="Times New Roman"/>
                <w:b/>
                <w:color w:val="000000" w:themeColor="text1"/>
                <w:szCs w:val="24"/>
              </w:rPr>
            </w:pPr>
          </w:p>
        </w:tc>
        <w:tc>
          <w:tcPr>
            <w:tcW w:w="3608" w:type="dxa"/>
          </w:tcPr>
          <w:p w14:paraId="1D03E668" w14:textId="77777777" w:rsidR="00AB2765" w:rsidRDefault="00AB2765" w:rsidP="00AB2765">
            <w:pPr>
              <w:jc w:val="center"/>
              <w:rPr>
                <w:rFonts w:eastAsia="Calibri" w:cs="Times New Roman"/>
                <w:b/>
                <w:color w:val="000000" w:themeColor="text1"/>
                <w:szCs w:val="24"/>
              </w:rPr>
            </w:pPr>
          </w:p>
          <w:p w14:paraId="6A577121" w14:textId="29578130" w:rsidR="00AB2765" w:rsidRPr="00815B3E" w:rsidRDefault="00AB2765" w:rsidP="00AB2765">
            <w:pPr>
              <w:jc w:val="center"/>
              <w:rPr>
                <w:rFonts w:eastAsia="Calibri" w:cs="Times New Roman"/>
                <w:b/>
                <w:color w:val="000000" w:themeColor="text1"/>
                <w:szCs w:val="24"/>
              </w:rPr>
            </w:pPr>
            <w:r w:rsidRPr="00815B3E">
              <w:rPr>
                <w:rFonts w:eastAsia="Calibri" w:cs="Times New Roman"/>
                <w:b/>
                <w:color w:val="000000" w:themeColor="text1"/>
                <w:szCs w:val="24"/>
              </w:rPr>
              <w:t xml:space="preserve">§ </w:t>
            </w:r>
            <w:r>
              <w:rPr>
                <w:rFonts w:eastAsia="Calibri" w:cs="Times New Roman"/>
                <w:b/>
                <w:color w:val="000000" w:themeColor="text1"/>
                <w:szCs w:val="24"/>
              </w:rPr>
              <w:t>7</w:t>
            </w:r>
          </w:p>
          <w:p w14:paraId="379BF287" w14:textId="77777777" w:rsidR="00AB2765" w:rsidRPr="00815B3E" w:rsidRDefault="00AB2765" w:rsidP="00AB2765">
            <w:pPr>
              <w:jc w:val="center"/>
              <w:rPr>
                <w:rFonts w:eastAsia="Calibri" w:cs="Times New Roman"/>
                <w:color w:val="000000" w:themeColor="text1"/>
                <w:szCs w:val="24"/>
              </w:rPr>
            </w:pPr>
          </w:p>
          <w:p w14:paraId="74B40253" w14:textId="77777777" w:rsidR="00AB2765" w:rsidRPr="00815B3E" w:rsidRDefault="00AB2765" w:rsidP="00AB2765">
            <w:pPr>
              <w:spacing w:after="200" w:line="276" w:lineRule="auto"/>
              <w:jc w:val="left"/>
              <w:rPr>
                <w:rFonts w:eastAsia="Calibri" w:cs="Times New Roman"/>
                <w:bCs/>
                <w:color w:val="000000" w:themeColor="text1"/>
                <w:szCs w:val="24"/>
              </w:rPr>
            </w:pPr>
            <w:r w:rsidRPr="00815B3E">
              <w:rPr>
                <w:rFonts w:eastAsia="Calibri" w:cs="Times New Roman"/>
                <w:bCs/>
                <w:color w:val="000000" w:themeColor="text1"/>
                <w:szCs w:val="24"/>
              </w:rPr>
              <w:t>I skattekontrolloven, jf. lovbekendtgørelse nr. nr. 283 af 2. marts 2022,</w:t>
            </w:r>
            <w:r>
              <w:rPr>
                <w:rFonts w:eastAsia="Calibri" w:cs="Times New Roman"/>
                <w:bCs/>
                <w:color w:val="000000" w:themeColor="text1"/>
                <w:szCs w:val="24"/>
              </w:rPr>
              <w:t xml:space="preserve"> som ændret ved § 3 i lov nr. 2612 af 28. december 2021,</w:t>
            </w:r>
            <w:r w:rsidRPr="00815B3E">
              <w:rPr>
                <w:rFonts w:eastAsia="Calibri" w:cs="Times New Roman"/>
                <w:bCs/>
                <w:color w:val="000000" w:themeColor="text1"/>
                <w:szCs w:val="24"/>
              </w:rPr>
              <w:t xml:space="preserve"> </w:t>
            </w:r>
            <w:r>
              <w:rPr>
                <w:rFonts w:eastAsia="Calibri" w:cs="Times New Roman"/>
                <w:bCs/>
                <w:color w:val="000000" w:themeColor="text1"/>
                <w:szCs w:val="24"/>
              </w:rPr>
              <w:t xml:space="preserve">som ændret ved § 3 i lov nr. 2621 af 28. december 2021, ved § 3 i lov nr. </w:t>
            </w:r>
            <w:r>
              <w:rPr>
                <w:rFonts w:eastAsia="Calibri" w:cs="Times New Roman"/>
                <w:bCs/>
                <w:color w:val="000000" w:themeColor="text1"/>
                <w:szCs w:val="24"/>
              </w:rPr>
              <w:lastRenderedPageBreak/>
              <w:t xml:space="preserve">902 af 21. juni 2022 og ved § 3 i lov nr. 905 af 21. juni 2022 </w:t>
            </w:r>
            <w:r w:rsidRPr="00815B3E">
              <w:rPr>
                <w:rFonts w:eastAsia="Calibri" w:cs="Times New Roman"/>
                <w:bCs/>
                <w:color w:val="000000" w:themeColor="text1"/>
                <w:szCs w:val="24"/>
              </w:rPr>
              <w:t>foretages følgende ændring:</w:t>
            </w:r>
          </w:p>
          <w:p w14:paraId="38CA2FD3" w14:textId="77777777" w:rsidR="00AB2765" w:rsidRPr="00815B3E" w:rsidRDefault="00AB2765" w:rsidP="00AB2765">
            <w:pPr>
              <w:spacing w:after="200" w:line="276" w:lineRule="auto"/>
              <w:jc w:val="left"/>
              <w:rPr>
                <w:rFonts w:eastAsia="Calibri" w:cs="Times New Roman"/>
                <w:b/>
                <w:color w:val="000000" w:themeColor="text1"/>
                <w:szCs w:val="24"/>
              </w:rPr>
            </w:pPr>
            <w:r w:rsidRPr="00815B3E">
              <w:rPr>
                <w:rFonts w:eastAsia="Calibri" w:cs="Times New Roman"/>
                <w:b/>
                <w:color w:val="000000" w:themeColor="text1"/>
                <w:szCs w:val="24"/>
              </w:rPr>
              <w:t xml:space="preserve">1. </w:t>
            </w:r>
            <w:r w:rsidRPr="00815B3E">
              <w:rPr>
                <w:rFonts w:eastAsia="Calibri" w:cs="Times New Roman"/>
                <w:bCs/>
                <w:color w:val="000000" w:themeColor="text1"/>
                <w:szCs w:val="24"/>
              </w:rPr>
              <w:t>Efter § 36 indsættes</w:t>
            </w:r>
            <w:r>
              <w:rPr>
                <w:rFonts w:eastAsia="Calibri" w:cs="Times New Roman"/>
                <w:bCs/>
                <w:color w:val="000000" w:themeColor="text1"/>
                <w:szCs w:val="24"/>
              </w:rPr>
              <w:t xml:space="preserve"> i kapitel 3</w:t>
            </w:r>
            <w:r w:rsidRPr="00815B3E">
              <w:rPr>
                <w:rFonts w:eastAsia="Calibri" w:cs="Times New Roman"/>
                <w:bCs/>
                <w:color w:val="000000" w:themeColor="text1"/>
                <w:szCs w:val="24"/>
              </w:rPr>
              <w:t>:</w:t>
            </w:r>
          </w:p>
          <w:p w14:paraId="3F998D4A" w14:textId="77777777" w:rsidR="00AB2765" w:rsidRPr="00613864" w:rsidRDefault="00AB2765" w:rsidP="00AB2765">
            <w:pPr>
              <w:spacing w:after="200" w:line="276" w:lineRule="auto"/>
              <w:jc w:val="center"/>
              <w:rPr>
                <w:rFonts w:eastAsia="Calibri" w:cs="Times New Roman"/>
                <w:bCs/>
                <w:i/>
                <w:iCs/>
                <w:color w:val="000000" w:themeColor="text1"/>
                <w:szCs w:val="24"/>
              </w:rPr>
            </w:pPr>
            <w:r w:rsidRPr="00613864">
              <w:rPr>
                <w:rFonts w:eastAsia="Calibri" w:cs="Times New Roman"/>
                <w:bCs/>
                <w:i/>
                <w:iCs/>
                <w:color w:val="000000" w:themeColor="text1"/>
                <w:szCs w:val="24"/>
              </w:rPr>
              <w:t>»Oplysninger om lagerbeskattede ejendomme</w:t>
            </w:r>
          </w:p>
          <w:p w14:paraId="00CE2F58" w14:textId="77777777" w:rsidR="00AB2765" w:rsidRPr="00815B3E" w:rsidRDefault="00AB2765" w:rsidP="00AB2765">
            <w:pPr>
              <w:ind w:firstLine="284"/>
              <w:jc w:val="left"/>
              <w:rPr>
                <w:rFonts w:eastAsia="Calibri" w:cs="Times New Roman"/>
                <w:bCs/>
                <w:color w:val="000000" w:themeColor="text1"/>
                <w:szCs w:val="24"/>
              </w:rPr>
            </w:pPr>
            <w:r w:rsidRPr="00815B3E">
              <w:rPr>
                <w:rFonts w:eastAsia="Calibri" w:cs="Times New Roman"/>
                <w:b/>
                <w:color w:val="000000" w:themeColor="text1"/>
                <w:szCs w:val="24"/>
              </w:rPr>
              <w:t xml:space="preserve">§ 36 </w:t>
            </w:r>
            <w:r>
              <w:rPr>
                <w:rFonts w:eastAsia="Calibri" w:cs="Times New Roman"/>
                <w:b/>
                <w:color w:val="000000" w:themeColor="text1"/>
                <w:szCs w:val="24"/>
              </w:rPr>
              <w:t>a</w:t>
            </w:r>
            <w:r w:rsidRPr="00815B3E">
              <w:rPr>
                <w:rFonts w:eastAsia="Calibri" w:cs="Times New Roman"/>
                <w:b/>
                <w:color w:val="000000" w:themeColor="text1"/>
                <w:szCs w:val="24"/>
              </w:rPr>
              <w:t xml:space="preserve">. </w:t>
            </w:r>
            <w:r w:rsidRPr="00815B3E">
              <w:rPr>
                <w:rFonts w:eastAsia="Calibri" w:cs="Times New Roman"/>
                <w:bCs/>
                <w:color w:val="000000" w:themeColor="text1"/>
                <w:szCs w:val="24"/>
              </w:rPr>
              <w:t>Skattepligtige, der ejer lagerbeskattede ejendomme, jf. ejendomsavancebeskatningslovens kapitel 3, skal dokumentere de økonomiske omstændigheder, der ligger til grund for værdiansættelsen af selskabets faste ejendomme efter ejendomsavancebeskatningslovens §§ 14 A og 14 C, hvis told- og skatteforvaltning</w:t>
            </w:r>
            <w:r>
              <w:rPr>
                <w:rFonts w:eastAsia="Calibri" w:cs="Times New Roman"/>
                <w:bCs/>
                <w:color w:val="000000" w:themeColor="text1"/>
                <w:szCs w:val="24"/>
              </w:rPr>
              <w:t>en</w:t>
            </w:r>
            <w:r w:rsidRPr="00815B3E">
              <w:rPr>
                <w:rFonts w:eastAsia="Calibri" w:cs="Times New Roman"/>
                <w:bCs/>
                <w:color w:val="000000" w:themeColor="text1"/>
                <w:szCs w:val="24"/>
              </w:rPr>
              <w:t xml:space="preserve"> anmoder herom.</w:t>
            </w:r>
          </w:p>
          <w:p w14:paraId="00FB062F" w14:textId="77777777" w:rsidR="00AB2765" w:rsidRPr="00815B3E" w:rsidRDefault="00AB2765" w:rsidP="00AB2765">
            <w:pPr>
              <w:ind w:firstLine="284"/>
              <w:jc w:val="left"/>
              <w:rPr>
                <w:rFonts w:eastAsia="Calibri" w:cs="Times New Roman"/>
                <w:bCs/>
                <w:color w:val="000000" w:themeColor="text1"/>
                <w:szCs w:val="24"/>
              </w:rPr>
            </w:pPr>
            <w:r w:rsidRPr="00815B3E">
              <w:rPr>
                <w:rFonts w:eastAsia="Calibri" w:cs="Times New Roman"/>
                <w:bCs/>
                <w:i/>
                <w:iCs/>
                <w:color w:val="000000" w:themeColor="text1"/>
                <w:szCs w:val="24"/>
              </w:rPr>
              <w:t xml:space="preserve">Stk. 2. </w:t>
            </w:r>
            <w:r w:rsidRPr="00815B3E">
              <w:rPr>
                <w:rFonts w:eastAsia="Calibri" w:cs="Times New Roman"/>
                <w:bCs/>
                <w:color w:val="000000" w:themeColor="text1"/>
                <w:szCs w:val="24"/>
              </w:rPr>
              <w:t>Told- og skatteforvaltningen kan fastsætte nærmere regler om de oplysninger, der skal afgives efter stk. 1.«</w:t>
            </w:r>
          </w:p>
          <w:p w14:paraId="3928E9EE" w14:textId="77777777" w:rsidR="00AB2765" w:rsidRDefault="00AB2765" w:rsidP="00AB2765">
            <w:pPr>
              <w:rPr>
                <w:rFonts w:eastAsia="Calibri" w:cs="Times New Roman"/>
                <w:color w:val="000000" w:themeColor="text1"/>
                <w:szCs w:val="24"/>
              </w:rPr>
            </w:pPr>
          </w:p>
          <w:p w14:paraId="0CAC4668" w14:textId="77777777" w:rsidR="00674763" w:rsidRPr="00815B3E" w:rsidRDefault="00674763" w:rsidP="00613864">
            <w:pPr>
              <w:spacing w:after="240"/>
              <w:contextualSpacing/>
              <w:mirrorIndents/>
              <w:rPr>
                <w:rFonts w:cs="Times New Roman"/>
                <w:b/>
                <w:color w:val="000000" w:themeColor="text1"/>
                <w:szCs w:val="24"/>
              </w:rPr>
            </w:pPr>
          </w:p>
        </w:tc>
      </w:tr>
      <w:tr w:rsidR="00674763" w:rsidRPr="00815B3E" w14:paraId="1754F829" w14:textId="77777777" w:rsidTr="00613864">
        <w:tc>
          <w:tcPr>
            <w:tcW w:w="3610" w:type="dxa"/>
          </w:tcPr>
          <w:p w14:paraId="5BB02591" w14:textId="77777777" w:rsidR="00AB2765" w:rsidRDefault="00AB2765" w:rsidP="00613864">
            <w:pPr>
              <w:spacing w:after="240"/>
              <w:contextualSpacing/>
              <w:mirrorIndents/>
              <w:rPr>
                <w:rFonts w:cs="Times New Roman"/>
                <w:b/>
                <w:color w:val="000000" w:themeColor="text1"/>
                <w:szCs w:val="24"/>
              </w:rPr>
            </w:pPr>
          </w:p>
          <w:p w14:paraId="3F5A0731" w14:textId="77777777" w:rsidR="00AB2765" w:rsidRDefault="00AB2765" w:rsidP="00613864">
            <w:pPr>
              <w:spacing w:after="240"/>
              <w:contextualSpacing/>
              <w:mirrorIndents/>
              <w:rPr>
                <w:rFonts w:cs="Times New Roman"/>
                <w:b/>
                <w:color w:val="000000" w:themeColor="text1"/>
                <w:szCs w:val="24"/>
              </w:rPr>
            </w:pPr>
          </w:p>
          <w:p w14:paraId="5C0C4EBC" w14:textId="77777777" w:rsidR="00AB2765" w:rsidRDefault="00AB2765" w:rsidP="00613864">
            <w:pPr>
              <w:spacing w:after="240"/>
              <w:contextualSpacing/>
              <w:mirrorIndents/>
              <w:rPr>
                <w:rFonts w:cs="Times New Roman"/>
                <w:b/>
                <w:color w:val="000000" w:themeColor="text1"/>
                <w:szCs w:val="24"/>
              </w:rPr>
            </w:pPr>
          </w:p>
          <w:p w14:paraId="1FE55C51" w14:textId="77777777" w:rsidR="00AB2765" w:rsidRDefault="00AB2765" w:rsidP="00613864">
            <w:pPr>
              <w:spacing w:after="240"/>
              <w:contextualSpacing/>
              <w:mirrorIndents/>
              <w:rPr>
                <w:rFonts w:cs="Times New Roman"/>
                <w:b/>
                <w:color w:val="000000" w:themeColor="text1"/>
                <w:szCs w:val="24"/>
              </w:rPr>
            </w:pPr>
          </w:p>
          <w:p w14:paraId="28FA1292" w14:textId="77777777" w:rsidR="00AB2765" w:rsidRDefault="00AB2765" w:rsidP="00613864">
            <w:pPr>
              <w:spacing w:after="240"/>
              <w:contextualSpacing/>
              <w:mirrorIndents/>
              <w:rPr>
                <w:rFonts w:cs="Times New Roman"/>
                <w:b/>
                <w:color w:val="000000" w:themeColor="text1"/>
                <w:szCs w:val="24"/>
              </w:rPr>
            </w:pPr>
          </w:p>
          <w:p w14:paraId="5746C634" w14:textId="77777777" w:rsidR="00AB2765" w:rsidRDefault="00AB2765" w:rsidP="00613864">
            <w:pPr>
              <w:spacing w:after="240"/>
              <w:contextualSpacing/>
              <w:mirrorIndents/>
              <w:rPr>
                <w:rFonts w:cs="Times New Roman"/>
                <w:b/>
                <w:color w:val="000000" w:themeColor="text1"/>
                <w:szCs w:val="24"/>
              </w:rPr>
            </w:pPr>
          </w:p>
          <w:p w14:paraId="046F0E36" w14:textId="77777777" w:rsidR="00AB2765" w:rsidRDefault="00AB2765" w:rsidP="00613864">
            <w:pPr>
              <w:spacing w:after="240"/>
              <w:contextualSpacing/>
              <w:mirrorIndents/>
              <w:rPr>
                <w:rFonts w:cs="Times New Roman"/>
                <w:b/>
                <w:color w:val="000000" w:themeColor="text1"/>
                <w:szCs w:val="24"/>
              </w:rPr>
            </w:pPr>
          </w:p>
          <w:p w14:paraId="71902FAA" w14:textId="77777777" w:rsidR="00AB2765" w:rsidRDefault="00AB2765" w:rsidP="00613864">
            <w:pPr>
              <w:spacing w:after="240"/>
              <w:contextualSpacing/>
              <w:mirrorIndents/>
              <w:rPr>
                <w:rFonts w:cs="Times New Roman"/>
                <w:b/>
                <w:color w:val="000000" w:themeColor="text1"/>
                <w:szCs w:val="24"/>
              </w:rPr>
            </w:pPr>
          </w:p>
          <w:p w14:paraId="5B40542A" w14:textId="77777777" w:rsidR="00AB2765" w:rsidRDefault="00AB2765" w:rsidP="00613864">
            <w:pPr>
              <w:spacing w:after="240"/>
              <w:contextualSpacing/>
              <w:mirrorIndents/>
              <w:rPr>
                <w:rFonts w:cs="Times New Roman"/>
                <w:b/>
                <w:color w:val="000000" w:themeColor="text1"/>
                <w:szCs w:val="24"/>
              </w:rPr>
            </w:pPr>
          </w:p>
          <w:p w14:paraId="0BCFB81B" w14:textId="77777777" w:rsidR="00AB2765" w:rsidRPr="00AB2765" w:rsidRDefault="00AB2765" w:rsidP="00AB2765">
            <w:pPr>
              <w:spacing w:after="240"/>
              <w:contextualSpacing/>
              <w:mirrorIndents/>
              <w:rPr>
                <w:rFonts w:cs="Times New Roman"/>
                <w:bCs/>
                <w:color w:val="000000" w:themeColor="text1"/>
                <w:szCs w:val="24"/>
              </w:rPr>
            </w:pPr>
            <w:r w:rsidRPr="00AB2765">
              <w:rPr>
                <w:rFonts w:cs="Times New Roman"/>
                <w:b/>
                <w:color w:val="000000" w:themeColor="text1"/>
                <w:szCs w:val="24"/>
              </w:rPr>
              <w:t xml:space="preserve">§ 1. </w:t>
            </w:r>
            <w:r w:rsidRPr="00255CB9">
              <w:rPr>
                <w:rFonts w:cs="Times New Roman"/>
                <w:bCs/>
                <w:color w:val="000000" w:themeColor="text1"/>
                <w:szCs w:val="24"/>
              </w:rPr>
              <w:t>Skattepligtige personer, der driver selvstændig erhvervsvirksomhed, kan anvende virksomhedsordningen efter reglerne i dette afsnit på indkomst fra virksomheden</w:t>
            </w:r>
            <w:r>
              <w:rPr>
                <w:rFonts w:cs="Times New Roman"/>
                <w:bCs/>
                <w:color w:val="000000" w:themeColor="text1"/>
                <w:szCs w:val="24"/>
              </w:rPr>
              <w:t xml:space="preserve">. </w:t>
            </w:r>
            <w:r w:rsidRPr="00AB2765">
              <w:rPr>
                <w:rFonts w:cs="Times New Roman"/>
                <w:bCs/>
                <w:color w:val="000000" w:themeColor="text1"/>
                <w:szCs w:val="24"/>
              </w:rPr>
              <w:t xml:space="preserve">Dette gælder dog ikke, hvis indkomst fra virksomheden er kapitalindkomst efter § 4, stk. 1, nr. 9 </w:t>
            </w:r>
            <w:r w:rsidRPr="00AB2765">
              <w:rPr>
                <w:rFonts w:cs="Times New Roman"/>
                <w:bCs/>
                <w:color w:val="000000" w:themeColor="text1"/>
                <w:szCs w:val="24"/>
              </w:rPr>
              <w:lastRenderedPageBreak/>
              <w:t>eller 11, i personskatteloven. Endvidere kan virksomhedsordningen ikke anvendes på konkursindkomst, jf. konkursskattelovens § 6.</w:t>
            </w:r>
          </w:p>
          <w:p w14:paraId="3AD6A885" w14:textId="77777777" w:rsidR="00AB2765" w:rsidRPr="00AB2765" w:rsidRDefault="00AB2765" w:rsidP="00AB2765">
            <w:pPr>
              <w:spacing w:after="240"/>
              <w:contextualSpacing/>
              <w:mirrorIndents/>
              <w:rPr>
                <w:rFonts w:cs="Times New Roman"/>
                <w:bCs/>
                <w:color w:val="000000" w:themeColor="text1"/>
                <w:szCs w:val="24"/>
              </w:rPr>
            </w:pPr>
          </w:p>
          <w:p w14:paraId="271274F1" w14:textId="580BBF72" w:rsidR="00674763" w:rsidRPr="00815B3E" w:rsidRDefault="00AB2765" w:rsidP="00AB2765">
            <w:pPr>
              <w:spacing w:after="240"/>
              <w:contextualSpacing/>
              <w:mirrorIndents/>
              <w:rPr>
                <w:rFonts w:cs="Times New Roman"/>
                <w:b/>
                <w:color w:val="000000" w:themeColor="text1"/>
                <w:szCs w:val="24"/>
              </w:rPr>
            </w:pPr>
            <w:r w:rsidRPr="00255CB9">
              <w:rPr>
                <w:rFonts w:cs="Times New Roman"/>
                <w:bCs/>
                <w:i/>
                <w:iCs/>
                <w:color w:val="000000" w:themeColor="text1"/>
                <w:szCs w:val="24"/>
              </w:rPr>
              <w:t>Stk. 2.</w:t>
            </w:r>
            <w:r w:rsidRPr="00AB2765">
              <w:rPr>
                <w:rFonts w:cs="Times New Roman"/>
                <w:bCs/>
                <w:color w:val="000000" w:themeColor="text1"/>
                <w:szCs w:val="24"/>
              </w:rPr>
              <w:t xml:space="preserve"> Aktier m.v. omfattet af aktieavancebeskatningsloven, </w:t>
            </w:r>
            <w:proofErr w:type="spellStart"/>
            <w:r w:rsidRPr="00AB2765">
              <w:rPr>
                <w:rFonts w:cs="Times New Roman"/>
                <w:bCs/>
                <w:color w:val="000000" w:themeColor="text1"/>
                <w:szCs w:val="24"/>
              </w:rPr>
              <w:t>uforrentede</w:t>
            </w:r>
            <w:proofErr w:type="spellEnd"/>
            <w:r w:rsidRPr="00AB2765">
              <w:rPr>
                <w:rFonts w:cs="Times New Roman"/>
                <w:bCs/>
                <w:color w:val="000000" w:themeColor="text1"/>
                <w:szCs w:val="24"/>
              </w:rPr>
              <w:t xml:space="preserve"> obligationer og præmieobligationer kan ikke indgå i virksomhedsordningen, medmindre den skattepligtige driver næring med sådanne aktiver. Konvertible obligationer omfattet af aktieavancebeskatningsloven, andele i foreninger omfattet af selskabsskattelovens § 1, stk. 1, nr. 3 og 4, obligationer, der beskattes efter reglerne for finansielle kontrakter, samt aktier og investeringsbeviser m.v., når aktier og investeringsbeviser m.v. er udstedt af et investeringsselskab, jf. aktieavancebeskatningslovens § 19, kan dog indgå i virksomhedsordningen.</w:t>
            </w:r>
          </w:p>
        </w:tc>
        <w:tc>
          <w:tcPr>
            <w:tcW w:w="3608" w:type="dxa"/>
          </w:tcPr>
          <w:p w14:paraId="63897F0E" w14:textId="77777777" w:rsidR="00AB2765" w:rsidRDefault="00AB2765" w:rsidP="00AB2765">
            <w:pPr>
              <w:jc w:val="center"/>
              <w:rPr>
                <w:rFonts w:eastAsia="Calibri" w:cs="Times New Roman"/>
                <w:b/>
                <w:color w:val="000000" w:themeColor="text1"/>
                <w:szCs w:val="24"/>
              </w:rPr>
            </w:pPr>
          </w:p>
          <w:p w14:paraId="58110D35" w14:textId="6D795A48" w:rsidR="00AB2765" w:rsidRPr="00815B3E" w:rsidRDefault="00AB2765" w:rsidP="00AB2765">
            <w:pPr>
              <w:jc w:val="center"/>
              <w:rPr>
                <w:rFonts w:eastAsia="Calibri" w:cs="Times New Roman"/>
                <w:b/>
                <w:color w:val="000000" w:themeColor="text1"/>
                <w:szCs w:val="24"/>
              </w:rPr>
            </w:pPr>
            <w:r w:rsidRPr="00815B3E">
              <w:rPr>
                <w:rFonts w:eastAsia="Calibri" w:cs="Times New Roman"/>
                <w:b/>
                <w:color w:val="000000" w:themeColor="text1"/>
                <w:szCs w:val="24"/>
              </w:rPr>
              <w:t xml:space="preserve">§ </w:t>
            </w:r>
            <w:r>
              <w:rPr>
                <w:rFonts w:eastAsia="Calibri" w:cs="Times New Roman"/>
                <w:b/>
                <w:color w:val="000000" w:themeColor="text1"/>
                <w:szCs w:val="24"/>
              </w:rPr>
              <w:t>8</w:t>
            </w:r>
          </w:p>
          <w:p w14:paraId="2134916F" w14:textId="77777777" w:rsidR="00AB2765" w:rsidRDefault="00AB2765" w:rsidP="00AB2765">
            <w:pPr>
              <w:rPr>
                <w:rFonts w:eastAsia="Calibri" w:cs="Times New Roman"/>
                <w:color w:val="000000" w:themeColor="text1"/>
                <w:szCs w:val="24"/>
              </w:rPr>
            </w:pPr>
          </w:p>
          <w:p w14:paraId="78BC075E" w14:textId="77777777" w:rsidR="00AB2765" w:rsidRDefault="00AB2765" w:rsidP="00AB2765">
            <w:pPr>
              <w:rPr>
                <w:rFonts w:eastAsia="Calibri" w:cs="Times New Roman"/>
                <w:color w:val="000000" w:themeColor="text1"/>
                <w:szCs w:val="24"/>
              </w:rPr>
            </w:pPr>
            <w:r>
              <w:rPr>
                <w:rFonts w:eastAsia="Calibri" w:cs="Times New Roman"/>
                <w:color w:val="000000" w:themeColor="text1"/>
                <w:szCs w:val="24"/>
              </w:rPr>
              <w:t xml:space="preserve">I virksomhedsskatteloven, jf. lovbekendtgørelse </w:t>
            </w:r>
            <w:r w:rsidRPr="007647A2">
              <w:rPr>
                <w:rFonts w:eastAsia="Calibri" w:cs="Times New Roman"/>
                <w:color w:val="000000" w:themeColor="text1"/>
                <w:szCs w:val="24"/>
              </w:rPr>
              <w:t>nr</w:t>
            </w:r>
            <w:r>
              <w:rPr>
                <w:rFonts w:eastAsia="Calibri" w:cs="Times New Roman"/>
                <w:color w:val="000000" w:themeColor="text1"/>
                <w:szCs w:val="24"/>
              </w:rPr>
              <w:t>.</w:t>
            </w:r>
            <w:r w:rsidRPr="007647A2">
              <w:rPr>
                <w:rFonts w:eastAsia="Calibri" w:cs="Times New Roman"/>
                <w:color w:val="000000" w:themeColor="text1"/>
                <w:szCs w:val="24"/>
              </w:rPr>
              <w:t xml:space="preserve"> 1836 af 16</w:t>
            </w:r>
            <w:r>
              <w:rPr>
                <w:rFonts w:eastAsia="Calibri" w:cs="Times New Roman"/>
                <w:color w:val="000000" w:themeColor="text1"/>
                <w:szCs w:val="24"/>
              </w:rPr>
              <w:t xml:space="preserve">. september </w:t>
            </w:r>
            <w:r w:rsidRPr="007647A2">
              <w:rPr>
                <w:rFonts w:eastAsia="Calibri" w:cs="Times New Roman"/>
                <w:color w:val="000000" w:themeColor="text1"/>
                <w:szCs w:val="24"/>
              </w:rPr>
              <w:t>2021</w:t>
            </w:r>
            <w:r>
              <w:rPr>
                <w:rFonts w:eastAsia="Calibri" w:cs="Times New Roman"/>
                <w:color w:val="000000" w:themeColor="text1"/>
                <w:szCs w:val="24"/>
              </w:rPr>
              <w:t>, som ændret ved § 6 i lov</w:t>
            </w:r>
            <w:r w:rsidRPr="007647A2">
              <w:rPr>
                <w:rFonts w:eastAsia="Calibri" w:cs="Times New Roman"/>
                <w:color w:val="000000" w:themeColor="text1"/>
                <w:szCs w:val="24"/>
              </w:rPr>
              <w:t xml:space="preserve"> nr</w:t>
            </w:r>
            <w:r>
              <w:rPr>
                <w:rFonts w:eastAsia="Calibri" w:cs="Times New Roman"/>
                <w:color w:val="000000" w:themeColor="text1"/>
                <w:szCs w:val="24"/>
              </w:rPr>
              <w:t>.</w:t>
            </w:r>
            <w:r w:rsidRPr="007647A2">
              <w:rPr>
                <w:rFonts w:eastAsia="Calibri" w:cs="Times New Roman"/>
                <w:color w:val="000000" w:themeColor="text1"/>
                <w:szCs w:val="24"/>
              </w:rPr>
              <w:t xml:space="preserve"> 2193 af 30</w:t>
            </w:r>
            <w:r>
              <w:rPr>
                <w:rFonts w:eastAsia="Calibri" w:cs="Times New Roman"/>
                <w:color w:val="000000" w:themeColor="text1"/>
                <w:szCs w:val="24"/>
              </w:rPr>
              <w:t xml:space="preserve">. november </w:t>
            </w:r>
            <w:r w:rsidRPr="007647A2">
              <w:rPr>
                <w:rFonts w:eastAsia="Calibri" w:cs="Times New Roman"/>
                <w:color w:val="000000" w:themeColor="text1"/>
                <w:szCs w:val="24"/>
              </w:rPr>
              <w:t>2021</w:t>
            </w:r>
            <w:r>
              <w:rPr>
                <w:rFonts w:eastAsia="Calibri" w:cs="Times New Roman"/>
                <w:color w:val="000000" w:themeColor="text1"/>
                <w:szCs w:val="24"/>
              </w:rPr>
              <w:t>, foretages følgende ændring:</w:t>
            </w:r>
          </w:p>
          <w:p w14:paraId="60739C41" w14:textId="77777777" w:rsidR="00AB2765" w:rsidRDefault="00AB2765" w:rsidP="00AB2765">
            <w:pPr>
              <w:rPr>
                <w:rFonts w:eastAsia="Calibri" w:cs="Times New Roman"/>
                <w:color w:val="000000" w:themeColor="text1"/>
                <w:szCs w:val="24"/>
              </w:rPr>
            </w:pPr>
            <w:r>
              <w:rPr>
                <w:rFonts w:eastAsia="Calibri" w:cs="Times New Roman"/>
                <w:color w:val="000000" w:themeColor="text1"/>
                <w:szCs w:val="24"/>
              </w:rPr>
              <w:t xml:space="preserve"> </w:t>
            </w:r>
          </w:p>
          <w:p w14:paraId="4E3E543C" w14:textId="77777777" w:rsidR="00AB2765" w:rsidRDefault="00AB2765" w:rsidP="00AB2765">
            <w:pPr>
              <w:rPr>
                <w:rFonts w:eastAsia="Calibri" w:cs="Times New Roman"/>
                <w:color w:val="000000" w:themeColor="text1"/>
                <w:szCs w:val="24"/>
              </w:rPr>
            </w:pPr>
            <w:r>
              <w:rPr>
                <w:rFonts w:eastAsia="Calibri" w:cs="Times New Roman"/>
                <w:b/>
                <w:bCs/>
                <w:color w:val="000000" w:themeColor="text1"/>
                <w:szCs w:val="24"/>
              </w:rPr>
              <w:t xml:space="preserve">1. </w:t>
            </w:r>
            <w:r>
              <w:rPr>
                <w:rFonts w:eastAsia="Calibri" w:cs="Times New Roman"/>
                <w:color w:val="000000" w:themeColor="text1"/>
                <w:szCs w:val="24"/>
              </w:rPr>
              <w:t xml:space="preserve">I </w:t>
            </w:r>
            <w:r w:rsidRPr="00613864">
              <w:rPr>
                <w:rFonts w:eastAsia="Calibri" w:cs="Times New Roman"/>
                <w:i/>
                <w:iCs/>
                <w:color w:val="000000" w:themeColor="text1"/>
                <w:szCs w:val="24"/>
              </w:rPr>
              <w:t>§ 1, stk. 2. 2. pkt.</w:t>
            </w:r>
            <w:r>
              <w:rPr>
                <w:rFonts w:eastAsia="Calibri" w:cs="Times New Roman"/>
                <w:i/>
                <w:iCs/>
                <w:color w:val="000000" w:themeColor="text1"/>
                <w:szCs w:val="24"/>
              </w:rPr>
              <w:t>,</w:t>
            </w:r>
            <w:r>
              <w:rPr>
                <w:rFonts w:eastAsia="Calibri" w:cs="Times New Roman"/>
                <w:color w:val="000000" w:themeColor="text1"/>
                <w:szCs w:val="24"/>
              </w:rPr>
              <w:t xml:space="preserve"> ændres ”lov om beskatning af fortjeneste ved afståelse af fast ejendoms” til: ”ejendomsavancebeskatningslovens”.</w:t>
            </w:r>
          </w:p>
          <w:p w14:paraId="0A1D0BA9" w14:textId="77777777" w:rsidR="00674763" w:rsidRPr="00815B3E" w:rsidRDefault="00674763" w:rsidP="00255CB9">
            <w:pPr>
              <w:spacing w:after="240"/>
              <w:contextualSpacing/>
              <w:mirrorIndents/>
              <w:jc w:val="center"/>
              <w:rPr>
                <w:rFonts w:cs="Times New Roman"/>
                <w:b/>
                <w:color w:val="000000" w:themeColor="text1"/>
                <w:szCs w:val="24"/>
              </w:rPr>
            </w:pPr>
          </w:p>
        </w:tc>
      </w:tr>
    </w:tbl>
    <w:p w14:paraId="1F7A24D0" w14:textId="77777777" w:rsidR="00E909DA" w:rsidRPr="00815B3E" w:rsidRDefault="00E909DA" w:rsidP="00E909DA">
      <w:pPr>
        <w:spacing w:after="240"/>
        <w:rPr>
          <w:color w:val="000000" w:themeColor="text1"/>
        </w:rPr>
      </w:pPr>
    </w:p>
    <w:p w14:paraId="2BE2F97C" w14:textId="77777777" w:rsidR="00E909DA" w:rsidRPr="00815B3E" w:rsidRDefault="00E909DA" w:rsidP="00E909DA">
      <w:pPr>
        <w:rPr>
          <w:color w:val="000000" w:themeColor="text1"/>
        </w:rPr>
      </w:pPr>
    </w:p>
    <w:p w14:paraId="1B1064CC" w14:textId="19E82A73" w:rsidR="004874A6" w:rsidRPr="00815B3E" w:rsidRDefault="004874A6" w:rsidP="00E909DA">
      <w:pPr>
        <w:rPr>
          <w:color w:val="000000" w:themeColor="text1"/>
        </w:rPr>
      </w:pPr>
    </w:p>
    <w:sectPr w:rsidR="004874A6" w:rsidRPr="00815B3E" w:rsidSect="00D712BA">
      <w:headerReference w:type="default" r:id="rId14"/>
      <w:footerReference w:type="default" r:id="rId15"/>
      <w:headerReference w:type="first" r:id="rId16"/>
      <w:pgSz w:w="11906" w:h="16838" w:code="9"/>
      <w:pgMar w:top="1418" w:right="3260"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7C28" w14:textId="77777777" w:rsidR="00C56AED" w:rsidRDefault="00C56AED" w:rsidP="00D712BA">
      <w:pPr>
        <w:spacing w:line="240" w:lineRule="auto"/>
      </w:pPr>
      <w:r>
        <w:separator/>
      </w:r>
    </w:p>
  </w:endnote>
  <w:endnote w:type="continuationSeparator" w:id="0">
    <w:p w14:paraId="443ACF90" w14:textId="77777777" w:rsidR="00C56AED" w:rsidRDefault="00C56AED" w:rsidP="00D71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3B35A2" w14:paraId="18919808" w14:textId="77777777" w:rsidTr="007112C6">
      <w:trPr>
        <w:trHeight w:val="255"/>
      </w:trPr>
      <w:tc>
        <w:tcPr>
          <w:tcW w:w="1418" w:type="dxa"/>
          <w:hideMark/>
        </w:tcPr>
        <w:p w14:paraId="4069092B" w14:textId="77777777" w:rsidR="003B35A2" w:rsidRPr="006A1B98" w:rsidRDefault="003B35A2">
          <w:pPr>
            <w:pStyle w:val="Sidefod"/>
            <w:rPr>
              <w:sz w:val="16"/>
              <w:szCs w:val="16"/>
            </w:rPr>
          </w:pPr>
          <w:r w:rsidRPr="006A1B98">
            <w:rPr>
              <w:rStyle w:val="Sidetal"/>
              <w:sz w:val="16"/>
              <w:szCs w:val="16"/>
            </w:rPr>
            <w:fldChar w:fldCharType="begin"/>
          </w:r>
          <w:r w:rsidRPr="006A1B98">
            <w:rPr>
              <w:rStyle w:val="Sidetal"/>
              <w:sz w:val="16"/>
              <w:szCs w:val="16"/>
            </w:rPr>
            <w:instrText xml:space="preserve"> PAGE </w:instrText>
          </w:r>
          <w:r w:rsidRPr="006A1B98">
            <w:rPr>
              <w:rStyle w:val="Sidetal"/>
              <w:sz w:val="16"/>
              <w:szCs w:val="16"/>
            </w:rPr>
            <w:fldChar w:fldCharType="separate"/>
          </w:r>
          <w:r>
            <w:rPr>
              <w:rStyle w:val="Sidetal"/>
              <w:noProof/>
              <w:sz w:val="16"/>
              <w:szCs w:val="16"/>
            </w:rPr>
            <w:t>6</w:t>
          </w:r>
          <w:r w:rsidRPr="006A1B98">
            <w:rPr>
              <w:rStyle w:val="Sidetal"/>
              <w:sz w:val="16"/>
              <w:szCs w:val="16"/>
            </w:rPr>
            <w:fldChar w:fldCharType="end"/>
          </w:r>
        </w:p>
      </w:tc>
    </w:tr>
  </w:tbl>
  <w:p w14:paraId="24823A7B" w14:textId="77777777" w:rsidR="003B35A2" w:rsidRDefault="003B35A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3B35A2" w14:paraId="242AEFB5" w14:textId="77777777" w:rsidTr="007112C6">
      <w:trPr>
        <w:trHeight w:val="255"/>
      </w:trPr>
      <w:tc>
        <w:tcPr>
          <w:tcW w:w="1418" w:type="dxa"/>
          <w:hideMark/>
        </w:tcPr>
        <w:p w14:paraId="139DB4BA" w14:textId="77777777" w:rsidR="003B35A2" w:rsidRPr="006A1B98" w:rsidRDefault="003B35A2">
          <w:pPr>
            <w:pStyle w:val="Sidefod"/>
            <w:rPr>
              <w:sz w:val="16"/>
              <w:szCs w:val="16"/>
            </w:rPr>
          </w:pPr>
          <w:r w:rsidRPr="006A1B98">
            <w:rPr>
              <w:rStyle w:val="Sidetal"/>
              <w:sz w:val="16"/>
              <w:szCs w:val="16"/>
            </w:rPr>
            <w:fldChar w:fldCharType="begin"/>
          </w:r>
          <w:r w:rsidRPr="006A1B98">
            <w:rPr>
              <w:rStyle w:val="Sidetal"/>
              <w:sz w:val="16"/>
              <w:szCs w:val="16"/>
            </w:rPr>
            <w:instrText xml:space="preserve"> PAGE </w:instrText>
          </w:r>
          <w:r w:rsidRPr="006A1B98">
            <w:rPr>
              <w:rStyle w:val="Sidetal"/>
              <w:sz w:val="16"/>
              <w:szCs w:val="16"/>
            </w:rPr>
            <w:fldChar w:fldCharType="separate"/>
          </w:r>
          <w:r>
            <w:rPr>
              <w:rStyle w:val="Sidetal"/>
              <w:noProof/>
              <w:sz w:val="16"/>
              <w:szCs w:val="16"/>
            </w:rPr>
            <w:t>10</w:t>
          </w:r>
          <w:r w:rsidRPr="006A1B98">
            <w:rPr>
              <w:rStyle w:val="Sidetal"/>
              <w:sz w:val="16"/>
              <w:szCs w:val="16"/>
            </w:rPr>
            <w:fldChar w:fldCharType="end"/>
          </w:r>
        </w:p>
      </w:tc>
    </w:tr>
  </w:tbl>
  <w:p w14:paraId="1E3AA5B5" w14:textId="77777777" w:rsidR="003B35A2" w:rsidRDefault="003B35A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5A11" w14:textId="77777777" w:rsidR="00C56AED" w:rsidRDefault="00C56AED" w:rsidP="00D712BA">
      <w:pPr>
        <w:spacing w:line="240" w:lineRule="auto"/>
      </w:pPr>
      <w:r>
        <w:separator/>
      </w:r>
    </w:p>
  </w:footnote>
  <w:footnote w:type="continuationSeparator" w:id="0">
    <w:p w14:paraId="52DCB220" w14:textId="77777777" w:rsidR="00C56AED" w:rsidRDefault="00C56AED" w:rsidP="00D71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3469" w14:textId="77777777" w:rsidR="003B35A2" w:rsidRDefault="003B35A2">
    <w:pPr>
      <w:pStyle w:val="Sidehoved"/>
    </w:pPr>
  </w:p>
  <w:p w14:paraId="6FC568C0" w14:textId="77777777" w:rsidR="003B35A2" w:rsidRPr="004A7268" w:rsidRDefault="003B35A2" w:rsidP="004A7268">
    <w:pPr>
      <w:pStyle w:val="Sidehoved"/>
      <w:jc w:val="center"/>
      <w:rPr>
        <w:b/>
      </w:rPr>
    </w:pPr>
    <w:r w:rsidRPr="004A7268">
      <w:rPr>
        <w:b/>
      </w:rPr>
      <w:t>UDKAST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DED2" w14:textId="77777777" w:rsidR="003B35A2" w:rsidRDefault="003B35A2">
    <w:pPr>
      <w:pStyle w:val="Sidehoved"/>
    </w:pPr>
  </w:p>
  <w:p w14:paraId="2C03DF8E" w14:textId="77777777" w:rsidR="003B35A2" w:rsidRPr="004A7268" w:rsidRDefault="003B35A2" w:rsidP="004A7268">
    <w:pPr>
      <w:pStyle w:val="Sidehoved"/>
      <w:jc w:val="center"/>
      <w:rPr>
        <w:b/>
      </w:rPr>
    </w:pPr>
    <w:r w:rsidRPr="004A7268">
      <w:rPr>
        <w:b/>
      </w:rPr>
      <w:t>UDKAST</w:t>
    </w:r>
  </w:p>
  <w:p w14:paraId="2BA40615" w14:textId="77777777" w:rsidR="003B35A2" w:rsidRDefault="003B35A2">
    <w:pPr>
      <w:pStyle w:val="Sidehoved"/>
    </w:pPr>
  </w:p>
  <w:p w14:paraId="4E8A0FA5" w14:textId="77777777" w:rsidR="003B35A2" w:rsidRDefault="003B35A2" w:rsidP="00B60A17">
    <w:pPr>
      <w:pStyle w:val="Sidehoved"/>
      <w:tabs>
        <w:tab w:val="clear" w:pos="4819"/>
        <w:tab w:val="clear" w:pos="9638"/>
        <w:tab w:val="left" w:pos="2070"/>
      </w:tabs>
    </w:pPr>
  </w:p>
  <w:p w14:paraId="218719BD" w14:textId="77777777" w:rsidR="003B35A2" w:rsidRDefault="003B35A2">
    <w:pPr>
      <w:pStyle w:val="Sidehoved"/>
    </w:pPr>
  </w:p>
  <w:p w14:paraId="56F3379C" w14:textId="77777777" w:rsidR="003B35A2" w:rsidRDefault="003B35A2">
    <w:pPr>
      <w:pStyle w:val="Sidehoved"/>
    </w:pPr>
  </w:p>
  <w:p w14:paraId="4BA92E3E" w14:textId="77777777" w:rsidR="003B35A2" w:rsidRDefault="003B35A2">
    <w:pPr>
      <w:pStyle w:val="Sidehoved"/>
    </w:pPr>
  </w:p>
  <w:p w14:paraId="345FE0CF" w14:textId="77777777" w:rsidR="003B35A2" w:rsidRDefault="003B35A2">
    <w:pPr>
      <w:pStyle w:val="Sidehoved"/>
    </w:pPr>
  </w:p>
  <w:p w14:paraId="5D402855" w14:textId="77777777" w:rsidR="003B35A2" w:rsidRDefault="003B35A2" w:rsidP="00D712BA">
    <w:pPr>
      <w:pStyle w:val="Sidehoved"/>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18DB" w14:textId="77777777" w:rsidR="003B35A2" w:rsidRDefault="003B35A2">
    <w:pPr>
      <w:pStyle w:val="Sidehoved"/>
    </w:pPr>
  </w:p>
  <w:p w14:paraId="5F99595B" w14:textId="77777777" w:rsidR="003B35A2" w:rsidRPr="004A7268" w:rsidRDefault="003B35A2" w:rsidP="004A7268">
    <w:pPr>
      <w:pStyle w:val="Sidehoved"/>
      <w:jc w:val="center"/>
      <w:rPr>
        <w:b/>
      </w:rPr>
    </w:pPr>
    <w:r w:rsidRPr="004A7268">
      <w:rPr>
        <w:b/>
      </w:rPr>
      <w:t>UDKAST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BAF8" w14:textId="77777777" w:rsidR="003B35A2" w:rsidRDefault="003B35A2">
    <w:pPr>
      <w:pStyle w:val="Sidehoved"/>
    </w:pPr>
  </w:p>
  <w:p w14:paraId="6EBB6155" w14:textId="77777777" w:rsidR="003B35A2" w:rsidRPr="004A7268" w:rsidRDefault="003B35A2" w:rsidP="004A7268">
    <w:pPr>
      <w:pStyle w:val="Sidehoved"/>
      <w:jc w:val="center"/>
      <w:rPr>
        <w:b/>
      </w:rPr>
    </w:pPr>
    <w:r w:rsidRPr="004A7268">
      <w:rPr>
        <w:b/>
      </w:rPr>
      <w:t>UDKAST</w:t>
    </w:r>
  </w:p>
  <w:p w14:paraId="2591DE49" w14:textId="77777777" w:rsidR="003B35A2" w:rsidRDefault="003B35A2">
    <w:pPr>
      <w:pStyle w:val="Sidehoved"/>
    </w:pPr>
  </w:p>
  <w:p w14:paraId="68095947" w14:textId="77777777" w:rsidR="003B35A2" w:rsidRDefault="003B35A2" w:rsidP="00B60A17">
    <w:pPr>
      <w:pStyle w:val="Sidehoved"/>
      <w:tabs>
        <w:tab w:val="clear" w:pos="4819"/>
        <w:tab w:val="clear" w:pos="9638"/>
        <w:tab w:val="left" w:pos="2070"/>
      </w:tabs>
    </w:pPr>
  </w:p>
  <w:p w14:paraId="49B2F2ED" w14:textId="77777777" w:rsidR="003B35A2" w:rsidRDefault="003B35A2">
    <w:pPr>
      <w:pStyle w:val="Sidehoved"/>
    </w:pPr>
  </w:p>
  <w:p w14:paraId="711E4AC8" w14:textId="77777777" w:rsidR="003B35A2" w:rsidRDefault="003B35A2">
    <w:pPr>
      <w:pStyle w:val="Sidehoved"/>
    </w:pPr>
  </w:p>
  <w:p w14:paraId="3227CEF2" w14:textId="77777777" w:rsidR="003B35A2" w:rsidRDefault="003B35A2">
    <w:pPr>
      <w:pStyle w:val="Sidehoved"/>
    </w:pPr>
  </w:p>
  <w:p w14:paraId="3C3AF028" w14:textId="77777777" w:rsidR="003B35A2" w:rsidRDefault="003B35A2">
    <w:pPr>
      <w:pStyle w:val="Sidehoved"/>
    </w:pPr>
  </w:p>
  <w:p w14:paraId="3C1C0AFE" w14:textId="77777777" w:rsidR="003B35A2" w:rsidRDefault="003B35A2" w:rsidP="00D712BA">
    <w:pPr>
      <w:pStyle w:val="Sidehoved"/>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3E520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E27403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6B204AD"/>
    <w:multiLevelType w:val="hybridMultilevel"/>
    <w:tmpl w:val="AE8003CC"/>
    <w:lvl w:ilvl="0" w:tplc="D9BC82EA">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70F75F6"/>
    <w:multiLevelType w:val="hybridMultilevel"/>
    <w:tmpl w:val="087264E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FB005F4"/>
    <w:multiLevelType w:val="multilevel"/>
    <w:tmpl w:val="630A119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E105E1"/>
    <w:multiLevelType w:val="singleLevel"/>
    <w:tmpl w:val="55948A56"/>
    <w:lvl w:ilvl="0">
      <w:start w:val="1"/>
      <w:numFmt w:val="decimal"/>
      <w:lvlRestart w:val="0"/>
      <w:lvlText w:val="%1."/>
      <w:lvlJc w:val="left"/>
      <w:pPr>
        <w:tabs>
          <w:tab w:val="num" w:pos="360"/>
        </w:tabs>
        <w:ind w:left="360" w:hanging="360"/>
      </w:pPr>
    </w:lvl>
  </w:abstractNum>
  <w:abstractNum w:abstractNumId="6" w15:restartNumberingAfterBreak="0">
    <w:nsid w:val="1343262A"/>
    <w:multiLevelType w:val="hybridMultilevel"/>
    <w:tmpl w:val="087264E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7984707"/>
    <w:multiLevelType w:val="hybridMultilevel"/>
    <w:tmpl w:val="A72E304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8110A31"/>
    <w:multiLevelType w:val="multilevel"/>
    <w:tmpl w:val="0EA062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A6B2361"/>
    <w:multiLevelType w:val="hybridMultilevel"/>
    <w:tmpl w:val="67D8574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FD327C0"/>
    <w:multiLevelType w:val="hybridMultilevel"/>
    <w:tmpl w:val="64D49ABC"/>
    <w:lvl w:ilvl="0" w:tplc="62C24AE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6E21F9"/>
    <w:multiLevelType w:val="hybridMultilevel"/>
    <w:tmpl w:val="087264E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DF66DAF"/>
    <w:multiLevelType w:val="hybridMultilevel"/>
    <w:tmpl w:val="2B00198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121690D"/>
    <w:multiLevelType w:val="singleLevel"/>
    <w:tmpl w:val="FA94B2CC"/>
    <w:lvl w:ilvl="0">
      <w:start w:val="1"/>
      <w:numFmt w:val="decimal"/>
      <w:lvlRestart w:val="0"/>
      <w:lvlText w:val="%1."/>
      <w:lvlJc w:val="left"/>
      <w:pPr>
        <w:tabs>
          <w:tab w:val="num" w:pos="360"/>
        </w:tabs>
        <w:ind w:left="360" w:hanging="360"/>
      </w:pPr>
    </w:lvl>
  </w:abstractNum>
  <w:abstractNum w:abstractNumId="14" w15:restartNumberingAfterBreak="0">
    <w:nsid w:val="39111051"/>
    <w:multiLevelType w:val="hybridMultilevel"/>
    <w:tmpl w:val="6508778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ECB3AD6"/>
    <w:multiLevelType w:val="multilevel"/>
    <w:tmpl w:val="1EFADA9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481304"/>
    <w:multiLevelType w:val="hybridMultilevel"/>
    <w:tmpl w:val="1BB6624C"/>
    <w:lvl w:ilvl="0" w:tplc="EBFE29AC">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D7D699E"/>
    <w:multiLevelType w:val="hybridMultilevel"/>
    <w:tmpl w:val="2968CED4"/>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66005C5D"/>
    <w:multiLevelType w:val="multilevel"/>
    <w:tmpl w:val="3C8C2F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8AD07F3"/>
    <w:multiLevelType w:val="multilevel"/>
    <w:tmpl w:val="5094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EF461A"/>
    <w:multiLevelType w:val="multilevel"/>
    <w:tmpl w:val="2244F53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953171326">
    <w:abstractNumId w:val="8"/>
  </w:num>
  <w:num w:numId="2" w16cid:durableId="2086804917">
    <w:abstractNumId w:val="2"/>
  </w:num>
  <w:num w:numId="3" w16cid:durableId="915475651">
    <w:abstractNumId w:val="17"/>
  </w:num>
  <w:num w:numId="4" w16cid:durableId="612369300">
    <w:abstractNumId w:val="18"/>
  </w:num>
  <w:num w:numId="5" w16cid:durableId="709111806">
    <w:abstractNumId w:val="20"/>
  </w:num>
  <w:num w:numId="6" w16cid:durableId="646662891">
    <w:abstractNumId w:val="12"/>
  </w:num>
  <w:num w:numId="7" w16cid:durableId="1620334715">
    <w:abstractNumId w:val="15"/>
  </w:num>
  <w:num w:numId="8" w16cid:durableId="561217392">
    <w:abstractNumId w:val="14"/>
  </w:num>
  <w:num w:numId="9" w16cid:durableId="590554786">
    <w:abstractNumId w:val="7"/>
  </w:num>
  <w:num w:numId="10" w16cid:durableId="160661044">
    <w:abstractNumId w:val="11"/>
  </w:num>
  <w:num w:numId="11" w16cid:durableId="502746054">
    <w:abstractNumId w:val="9"/>
  </w:num>
  <w:num w:numId="12" w16cid:durableId="1506087800">
    <w:abstractNumId w:val="6"/>
  </w:num>
  <w:num w:numId="13" w16cid:durableId="850492079">
    <w:abstractNumId w:val="0"/>
  </w:num>
  <w:num w:numId="14" w16cid:durableId="1676302354">
    <w:abstractNumId w:val="13"/>
  </w:num>
  <w:num w:numId="15" w16cid:durableId="1026835919">
    <w:abstractNumId w:val="3"/>
  </w:num>
  <w:num w:numId="16" w16cid:durableId="1215047813">
    <w:abstractNumId w:val="5"/>
  </w:num>
  <w:num w:numId="17" w16cid:durableId="1054498807">
    <w:abstractNumId w:val="16"/>
  </w:num>
  <w:num w:numId="18" w16cid:durableId="1217353614">
    <w:abstractNumId w:val="1"/>
  </w:num>
  <w:num w:numId="19" w16cid:durableId="1784228610">
    <w:abstractNumId w:val="4"/>
  </w:num>
  <w:num w:numId="20" w16cid:durableId="497816905">
    <w:abstractNumId w:val="10"/>
  </w:num>
  <w:num w:numId="21" w16cid:durableId="19978779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19E"/>
    <w:rsid w:val="0000061C"/>
    <w:rsid w:val="00001043"/>
    <w:rsid w:val="0001548C"/>
    <w:rsid w:val="00017296"/>
    <w:rsid w:val="00023D89"/>
    <w:rsid w:val="00025BDE"/>
    <w:rsid w:val="000276D1"/>
    <w:rsid w:val="00027B71"/>
    <w:rsid w:val="00031173"/>
    <w:rsid w:val="000320BC"/>
    <w:rsid w:val="00033C70"/>
    <w:rsid w:val="00034BCF"/>
    <w:rsid w:val="0004018D"/>
    <w:rsid w:val="00040AC5"/>
    <w:rsid w:val="0004256B"/>
    <w:rsid w:val="0004441E"/>
    <w:rsid w:val="000447C2"/>
    <w:rsid w:val="00045A17"/>
    <w:rsid w:val="00050243"/>
    <w:rsid w:val="000527AE"/>
    <w:rsid w:val="00053CD4"/>
    <w:rsid w:val="00055C79"/>
    <w:rsid w:val="00057746"/>
    <w:rsid w:val="00063022"/>
    <w:rsid w:val="00063ABA"/>
    <w:rsid w:val="00063EC8"/>
    <w:rsid w:val="00063F85"/>
    <w:rsid w:val="00064694"/>
    <w:rsid w:val="000657FE"/>
    <w:rsid w:val="00071447"/>
    <w:rsid w:val="000806EC"/>
    <w:rsid w:val="00081412"/>
    <w:rsid w:val="00081FB6"/>
    <w:rsid w:val="00086A1C"/>
    <w:rsid w:val="0008729F"/>
    <w:rsid w:val="00092308"/>
    <w:rsid w:val="0009793B"/>
    <w:rsid w:val="000A3D17"/>
    <w:rsid w:val="000A5884"/>
    <w:rsid w:val="000A73FF"/>
    <w:rsid w:val="000B057D"/>
    <w:rsid w:val="000B5607"/>
    <w:rsid w:val="000B593A"/>
    <w:rsid w:val="000C0A5E"/>
    <w:rsid w:val="000C0DAF"/>
    <w:rsid w:val="000C2C90"/>
    <w:rsid w:val="000C3D3B"/>
    <w:rsid w:val="000C51C5"/>
    <w:rsid w:val="000C52E2"/>
    <w:rsid w:val="000C55FA"/>
    <w:rsid w:val="000C57B1"/>
    <w:rsid w:val="000C76E8"/>
    <w:rsid w:val="000D1C5F"/>
    <w:rsid w:val="000D3A84"/>
    <w:rsid w:val="000D42EF"/>
    <w:rsid w:val="000E3052"/>
    <w:rsid w:val="000E6707"/>
    <w:rsid w:val="000E6880"/>
    <w:rsid w:val="000F3B01"/>
    <w:rsid w:val="001009DF"/>
    <w:rsid w:val="00100CC7"/>
    <w:rsid w:val="001013C0"/>
    <w:rsid w:val="001016F4"/>
    <w:rsid w:val="001022E1"/>
    <w:rsid w:val="00103D59"/>
    <w:rsid w:val="00104F4C"/>
    <w:rsid w:val="001065D0"/>
    <w:rsid w:val="001067E7"/>
    <w:rsid w:val="0011061B"/>
    <w:rsid w:val="00113A1C"/>
    <w:rsid w:val="00115202"/>
    <w:rsid w:val="00117BA7"/>
    <w:rsid w:val="001259A7"/>
    <w:rsid w:val="0013238A"/>
    <w:rsid w:val="001331E4"/>
    <w:rsid w:val="0013485E"/>
    <w:rsid w:val="001368A3"/>
    <w:rsid w:val="00137AEB"/>
    <w:rsid w:val="00140044"/>
    <w:rsid w:val="00146E45"/>
    <w:rsid w:val="00146EAA"/>
    <w:rsid w:val="001475DC"/>
    <w:rsid w:val="00150B87"/>
    <w:rsid w:val="00151E27"/>
    <w:rsid w:val="00152222"/>
    <w:rsid w:val="001537E7"/>
    <w:rsid w:val="001549A1"/>
    <w:rsid w:val="001618D7"/>
    <w:rsid w:val="0016196D"/>
    <w:rsid w:val="00161984"/>
    <w:rsid w:val="00164FF6"/>
    <w:rsid w:val="00165EF5"/>
    <w:rsid w:val="0016672D"/>
    <w:rsid w:val="00166D68"/>
    <w:rsid w:val="001672C7"/>
    <w:rsid w:val="00167AC4"/>
    <w:rsid w:val="00170154"/>
    <w:rsid w:val="00170BC9"/>
    <w:rsid w:val="0017143C"/>
    <w:rsid w:val="001741FA"/>
    <w:rsid w:val="00175403"/>
    <w:rsid w:val="00181AEC"/>
    <w:rsid w:val="00182E1D"/>
    <w:rsid w:val="00186875"/>
    <w:rsid w:val="00191601"/>
    <w:rsid w:val="001927BA"/>
    <w:rsid w:val="00193462"/>
    <w:rsid w:val="00194252"/>
    <w:rsid w:val="00195448"/>
    <w:rsid w:val="001A3DF1"/>
    <w:rsid w:val="001A5A82"/>
    <w:rsid w:val="001A69F3"/>
    <w:rsid w:val="001B2D4A"/>
    <w:rsid w:val="001B3250"/>
    <w:rsid w:val="001B54F2"/>
    <w:rsid w:val="001B623B"/>
    <w:rsid w:val="001B6804"/>
    <w:rsid w:val="001C47A5"/>
    <w:rsid w:val="001C678E"/>
    <w:rsid w:val="001C6960"/>
    <w:rsid w:val="001C6B61"/>
    <w:rsid w:val="001D0F65"/>
    <w:rsid w:val="001D1AF2"/>
    <w:rsid w:val="001D35B8"/>
    <w:rsid w:val="001D36ED"/>
    <w:rsid w:val="001D5ED5"/>
    <w:rsid w:val="001D606E"/>
    <w:rsid w:val="001D6E89"/>
    <w:rsid w:val="001E2ABE"/>
    <w:rsid w:val="001E361D"/>
    <w:rsid w:val="001E442D"/>
    <w:rsid w:val="001F08A3"/>
    <w:rsid w:val="001F150E"/>
    <w:rsid w:val="001F1BEB"/>
    <w:rsid w:val="001F2767"/>
    <w:rsid w:val="001F2F23"/>
    <w:rsid w:val="001F5866"/>
    <w:rsid w:val="00201784"/>
    <w:rsid w:val="00205182"/>
    <w:rsid w:val="00205E8A"/>
    <w:rsid w:val="0020694E"/>
    <w:rsid w:val="0020798D"/>
    <w:rsid w:val="002147B1"/>
    <w:rsid w:val="00214C43"/>
    <w:rsid w:val="00214E87"/>
    <w:rsid w:val="00215D00"/>
    <w:rsid w:val="00216487"/>
    <w:rsid w:val="0021689A"/>
    <w:rsid w:val="00217D27"/>
    <w:rsid w:val="00221FCF"/>
    <w:rsid w:val="00222C60"/>
    <w:rsid w:val="00223DF9"/>
    <w:rsid w:val="002242AF"/>
    <w:rsid w:val="00225098"/>
    <w:rsid w:val="00225AEE"/>
    <w:rsid w:val="00226C3C"/>
    <w:rsid w:val="002313CE"/>
    <w:rsid w:val="0023401F"/>
    <w:rsid w:val="002359A7"/>
    <w:rsid w:val="00236993"/>
    <w:rsid w:val="00240D3A"/>
    <w:rsid w:val="00241030"/>
    <w:rsid w:val="0024639C"/>
    <w:rsid w:val="0025454D"/>
    <w:rsid w:val="00254C13"/>
    <w:rsid w:val="00254C31"/>
    <w:rsid w:val="00255CB9"/>
    <w:rsid w:val="00260103"/>
    <w:rsid w:val="0026119E"/>
    <w:rsid w:val="00261FD4"/>
    <w:rsid w:val="0026213A"/>
    <w:rsid w:val="00264BFD"/>
    <w:rsid w:val="0026684B"/>
    <w:rsid w:val="0027014A"/>
    <w:rsid w:val="0027019F"/>
    <w:rsid w:val="00270DE5"/>
    <w:rsid w:val="00273622"/>
    <w:rsid w:val="00275CD7"/>
    <w:rsid w:val="00281798"/>
    <w:rsid w:val="0028319D"/>
    <w:rsid w:val="0028406E"/>
    <w:rsid w:val="00284A72"/>
    <w:rsid w:val="00285C51"/>
    <w:rsid w:val="002873BE"/>
    <w:rsid w:val="002922FD"/>
    <w:rsid w:val="00292AAA"/>
    <w:rsid w:val="00293594"/>
    <w:rsid w:val="00295F2F"/>
    <w:rsid w:val="0029653B"/>
    <w:rsid w:val="00297E57"/>
    <w:rsid w:val="002A1EB0"/>
    <w:rsid w:val="002A2411"/>
    <w:rsid w:val="002A591A"/>
    <w:rsid w:val="002A6373"/>
    <w:rsid w:val="002B00D8"/>
    <w:rsid w:val="002B0A43"/>
    <w:rsid w:val="002B2028"/>
    <w:rsid w:val="002B21BA"/>
    <w:rsid w:val="002B694F"/>
    <w:rsid w:val="002C0485"/>
    <w:rsid w:val="002C138C"/>
    <w:rsid w:val="002C18FE"/>
    <w:rsid w:val="002C1D2F"/>
    <w:rsid w:val="002C22F5"/>
    <w:rsid w:val="002C290E"/>
    <w:rsid w:val="002C297A"/>
    <w:rsid w:val="002C5DAB"/>
    <w:rsid w:val="002C65B3"/>
    <w:rsid w:val="002C77A2"/>
    <w:rsid w:val="002C79FB"/>
    <w:rsid w:val="002D038D"/>
    <w:rsid w:val="002D1E64"/>
    <w:rsid w:val="002D630D"/>
    <w:rsid w:val="002D7228"/>
    <w:rsid w:val="002E038B"/>
    <w:rsid w:val="002E631B"/>
    <w:rsid w:val="002E675C"/>
    <w:rsid w:val="002E74C1"/>
    <w:rsid w:val="002F52A5"/>
    <w:rsid w:val="002F6528"/>
    <w:rsid w:val="00301046"/>
    <w:rsid w:val="0030496B"/>
    <w:rsid w:val="00305900"/>
    <w:rsid w:val="00305D92"/>
    <w:rsid w:val="003070E2"/>
    <w:rsid w:val="00312960"/>
    <w:rsid w:val="00314FDD"/>
    <w:rsid w:val="0031727B"/>
    <w:rsid w:val="0031775F"/>
    <w:rsid w:val="0032164C"/>
    <w:rsid w:val="0032303D"/>
    <w:rsid w:val="00323083"/>
    <w:rsid w:val="003268C9"/>
    <w:rsid w:val="00331498"/>
    <w:rsid w:val="00332548"/>
    <w:rsid w:val="00332C99"/>
    <w:rsid w:val="003338C9"/>
    <w:rsid w:val="00333B7E"/>
    <w:rsid w:val="00333EE9"/>
    <w:rsid w:val="00334B8D"/>
    <w:rsid w:val="00336335"/>
    <w:rsid w:val="00344554"/>
    <w:rsid w:val="003449F2"/>
    <w:rsid w:val="00344F80"/>
    <w:rsid w:val="00345475"/>
    <w:rsid w:val="003458E6"/>
    <w:rsid w:val="003526CD"/>
    <w:rsid w:val="00354FB0"/>
    <w:rsid w:val="003556B6"/>
    <w:rsid w:val="0035665E"/>
    <w:rsid w:val="00360265"/>
    <w:rsid w:val="0036551B"/>
    <w:rsid w:val="00371A4E"/>
    <w:rsid w:val="0037583F"/>
    <w:rsid w:val="0038243A"/>
    <w:rsid w:val="003824E4"/>
    <w:rsid w:val="00384737"/>
    <w:rsid w:val="00384D81"/>
    <w:rsid w:val="00385541"/>
    <w:rsid w:val="0038703E"/>
    <w:rsid w:val="00390E5A"/>
    <w:rsid w:val="00391DFB"/>
    <w:rsid w:val="00393CDB"/>
    <w:rsid w:val="003953A6"/>
    <w:rsid w:val="00397432"/>
    <w:rsid w:val="003A14A8"/>
    <w:rsid w:val="003A1959"/>
    <w:rsid w:val="003A1AE2"/>
    <w:rsid w:val="003A26A8"/>
    <w:rsid w:val="003A3C29"/>
    <w:rsid w:val="003A43B4"/>
    <w:rsid w:val="003A487A"/>
    <w:rsid w:val="003A613F"/>
    <w:rsid w:val="003A6AA6"/>
    <w:rsid w:val="003A6E96"/>
    <w:rsid w:val="003A7A63"/>
    <w:rsid w:val="003B174B"/>
    <w:rsid w:val="003B22F0"/>
    <w:rsid w:val="003B278F"/>
    <w:rsid w:val="003B2DE0"/>
    <w:rsid w:val="003B2EFE"/>
    <w:rsid w:val="003B35A2"/>
    <w:rsid w:val="003B4EED"/>
    <w:rsid w:val="003B55B3"/>
    <w:rsid w:val="003B62AF"/>
    <w:rsid w:val="003B7EED"/>
    <w:rsid w:val="003C0EEF"/>
    <w:rsid w:val="003C1301"/>
    <w:rsid w:val="003D0AD7"/>
    <w:rsid w:val="003D0C98"/>
    <w:rsid w:val="003D18D4"/>
    <w:rsid w:val="003D1B16"/>
    <w:rsid w:val="003D2BF5"/>
    <w:rsid w:val="003D4F0A"/>
    <w:rsid w:val="003D605B"/>
    <w:rsid w:val="003D707E"/>
    <w:rsid w:val="003E23A0"/>
    <w:rsid w:val="003E4E44"/>
    <w:rsid w:val="003E52D0"/>
    <w:rsid w:val="003E6F1B"/>
    <w:rsid w:val="003F43C2"/>
    <w:rsid w:val="0040126A"/>
    <w:rsid w:val="00402061"/>
    <w:rsid w:val="00403F57"/>
    <w:rsid w:val="0040457D"/>
    <w:rsid w:val="004052A5"/>
    <w:rsid w:val="00406204"/>
    <w:rsid w:val="004110B5"/>
    <w:rsid w:val="00414809"/>
    <w:rsid w:val="00417402"/>
    <w:rsid w:val="004205BC"/>
    <w:rsid w:val="00420F6E"/>
    <w:rsid w:val="004225A8"/>
    <w:rsid w:val="00424A83"/>
    <w:rsid w:val="004277B4"/>
    <w:rsid w:val="004302AA"/>
    <w:rsid w:val="00430667"/>
    <w:rsid w:val="00432A6F"/>
    <w:rsid w:val="00433B61"/>
    <w:rsid w:val="004343AE"/>
    <w:rsid w:val="004360FA"/>
    <w:rsid w:val="00440C5E"/>
    <w:rsid w:val="004448ED"/>
    <w:rsid w:val="00450B6F"/>
    <w:rsid w:val="00450BA6"/>
    <w:rsid w:val="00452DD3"/>
    <w:rsid w:val="00454F5E"/>
    <w:rsid w:val="00457302"/>
    <w:rsid w:val="004650A8"/>
    <w:rsid w:val="00465BC6"/>
    <w:rsid w:val="00466CFB"/>
    <w:rsid w:val="00467704"/>
    <w:rsid w:val="00467D13"/>
    <w:rsid w:val="004817E0"/>
    <w:rsid w:val="004843EA"/>
    <w:rsid w:val="00486B00"/>
    <w:rsid w:val="004874A6"/>
    <w:rsid w:val="00493E75"/>
    <w:rsid w:val="00494BD8"/>
    <w:rsid w:val="004A087C"/>
    <w:rsid w:val="004A0F14"/>
    <w:rsid w:val="004A1FD1"/>
    <w:rsid w:val="004A304E"/>
    <w:rsid w:val="004A572F"/>
    <w:rsid w:val="004A7268"/>
    <w:rsid w:val="004B2B00"/>
    <w:rsid w:val="004B309A"/>
    <w:rsid w:val="004B67CA"/>
    <w:rsid w:val="004B72DC"/>
    <w:rsid w:val="004C061F"/>
    <w:rsid w:val="004C48F5"/>
    <w:rsid w:val="004C5AE3"/>
    <w:rsid w:val="004D2F3C"/>
    <w:rsid w:val="004D44B2"/>
    <w:rsid w:val="004D4EED"/>
    <w:rsid w:val="004D7996"/>
    <w:rsid w:val="004E00DD"/>
    <w:rsid w:val="004E24A9"/>
    <w:rsid w:val="004E3D3D"/>
    <w:rsid w:val="004E3EAE"/>
    <w:rsid w:val="004E4DE0"/>
    <w:rsid w:val="004E4F5B"/>
    <w:rsid w:val="004E742B"/>
    <w:rsid w:val="0050005A"/>
    <w:rsid w:val="005022C0"/>
    <w:rsid w:val="00502428"/>
    <w:rsid w:val="0050385F"/>
    <w:rsid w:val="00503D48"/>
    <w:rsid w:val="00504C2A"/>
    <w:rsid w:val="00512346"/>
    <w:rsid w:val="00517EC2"/>
    <w:rsid w:val="00520E74"/>
    <w:rsid w:val="00521E27"/>
    <w:rsid w:val="00523AE5"/>
    <w:rsid w:val="005260D5"/>
    <w:rsid w:val="00527160"/>
    <w:rsid w:val="005271F2"/>
    <w:rsid w:val="005339F8"/>
    <w:rsid w:val="00534E2B"/>
    <w:rsid w:val="005370AB"/>
    <w:rsid w:val="00537312"/>
    <w:rsid w:val="005400AF"/>
    <w:rsid w:val="00542CD4"/>
    <w:rsid w:val="00543942"/>
    <w:rsid w:val="0054447B"/>
    <w:rsid w:val="005512C2"/>
    <w:rsid w:val="005527A9"/>
    <w:rsid w:val="00552FF8"/>
    <w:rsid w:val="005565E7"/>
    <w:rsid w:val="00561D9F"/>
    <w:rsid w:val="00574D3D"/>
    <w:rsid w:val="0057533F"/>
    <w:rsid w:val="00575ADD"/>
    <w:rsid w:val="005768D7"/>
    <w:rsid w:val="00577DF5"/>
    <w:rsid w:val="00577FC2"/>
    <w:rsid w:val="0058212B"/>
    <w:rsid w:val="0058323B"/>
    <w:rsid w:val="00583843"/>
    <w:rsid w:val="005931A1"/>
    <w:rsid w:val="00593A98"/>
    <w:rsid w:val="005946D1"/>
    <w:rsid w:val="00594A23"/>
    <w:rsid w:val="00594A3D"/>
    <w:rsid w:val="00594C46"/>
    <w:rsid w:val="0059603A"/>
    <w:rsid w:val="005A310C"/>
    <w:rsid w:val="005A4871"/>
    <w:rsid w:val="005A55D8"/>
    <w:rsid w:val="005A6819"/>
    <w:rsid w:val="005A6850"/>
    <w:rsid w:val="005B058A"/>
    <w:rsid w:val="005B17BE"/>
    <w:rsid w:val="005B4174"/>
    <w:rsid w:val="005B681E"/>
    <w:rsid w:val="005B6CE4"/>
    <w:rsid w:val="005B705A"/>
    <w:rsid w:val="005C1C60"/>
    <w:rsid w:val="005C2A1B"/>
    <w:rsid w:val="005C50B1"/>
    <w:rsid w:val="005C6D09"/>
    <w:rsid w:val="005D1952"/>
    <w:rsid w:val="005D1AF1"/>
    <w:rsid w:val="005D57A9"/>
    <w:rsid w:val="005D5E3E"/>
    <w:rsid w:val="005D71A2"/>
    <w:rsid w:val="005D7F8A"/>
    <w:rsid w:val="005E04AE"/>
    <w:rsid w:val="005E1AB1"/>
    <w:rsid w:val="005E2809"/>
    <w:rsid w:val="005E2D41"/>
    <w:rsid w:val="005E73A1"/>
    <w:rsid w:val="005F1EDC"/>
    <w:rsid w:val="005F35D5"/>
    <w:rsid w:val="005F6CB4"/>
    <w:rsid w:val="006016CA"/>
    <w:rsid w:val="0060181E"/>
    <w:rsid w:val="00602CC4"/>
    <w:rsid w:val="00603466"/>
    <w:rsid w:val="00612938"/>
    <w:rsid w:val="00612E0E"/>
    <w:rsid w:val="00613950"/>
    <w:rsid w:val="006218C2"/>
    <w:rsid w:val="006269B2"/>
    <w:rsid w:val="006305E3"/>
    <w:rsid w:val="00633821"/>
    <w:rsid w:val="00634552"/>
    <w:rsid w:val="00634FBC"/>
    <w:rsid w:val="0063510D"/>
    <w:rsid w:val="00637ABE"/>
    <w:rsid w:val="00640D35"/>
    <w:rsid w:val="00643F35"/>
    <w:rsid w:val="006502A8"/>
    <w:rsid w:val="006509DB"/>
    <w:rsid w:val="0065554D"/>
    <w:rsid w:val="0065565A"/>
    <w:rsid w:val="00661211"/>
    <w:rsid w:val="0066207E"/>
    <w:rsid w:val="00663055"/>
    <w:rsid w:val="00665408"/>
    <w:rsid w:val="00665421"/>
    <w:rsid w:val="00665F86"/>
    <w:rsid w:val="00671262"/>
    <w:rsid w:val="00671C30"/>
    <w:rsid w:val="00673631"/>
    <w:rsid w:val="006744E0"/>
    <w:rsid w:val="00674753"/>
    <w:rsid w:val="00674763"/>
    <w:rsid w:val="006766DC"/>
    <w:rsid w:val="00676918"/>
    <w:rsid w:val="00676E9F"/>
    <w:rsid w:val="00676F19"/>
    <w:rsid w:val="00680E77"/>
    <w:rsid w:val="00680E9E"/>
    <w:rsid w:val="006821CD"/>
    <w:rsid w:val="00682987"/>
    <w:rsid w:val="00682AF4"/>
    <w:rsid w:val="00683889"/>
    <w:rsid w:val="00685D3F"/>
    <w:rsid w:val="0068659A"/>
    <w:rsid w:val="00686734"/>
    <w:rsid w:val="0069268F"/>
    <w:rsid w:val="0069300D"/>
    <w:rsid w:val="006A0A16"/>
    <w:rsid w:val="006A0B3B"/>
    <w:rsid w:val="006A1B98"/>
    <w:rsid w:val="006A3B04"/>
    <w:rsid w:val="006A4C87"/>
    <w:rsid w:val="006A5105"/>
    <w:rsid w:val="006A5395"/>
    <w:rsid w:val="006B1EFD"/>
    <w:rsid w:val="006B381E"/>
    <w:rsid w:val="006B6177"/>
    <w:rsid w:val="006C374B"/>
    <w:rsid w:val="006C693C"/>
    <w:rsid w:val="006D2FBA"/>
    <w:rsid w:val="006D3677"/>
    <w:rsid w:val="006E1D83"/>
    <w:rsid w:val="006E24EB"/>
    <w:rsid w:val="006E2A68"/>
    <w:rsid w:val="006E3FE2"/>
    <w:rsid w:val="006E47A9"/>
    <w:rsid w:val="006E4F82"/>
    <w:rsid w:val="006E5D1E"/>
    <w:rsid w:val="006F4D48"/>
    <w:rsid w:val="006F594F"/>
    <w:rsid w:val="00701DD7"/>
    <w:rsid w:val="00702E0C"/>
    <w:rsid w:val="0070324C"/>
    <w:rsid w:val="00703441"/>
    <w:rsid w:val="007039C3"/>
    <w:rsid w:val="00705792"/>
    <w:rsid w:val="00707FB5"/>
    <w:rsid w:val="007112C6"/>
    <w:rsid w:val="00711787"/>
    <w:rsid w:val="00711D53"/>
    <w:rsid w:val="00712004"/>
    <w:rsid w:val="007162AF"/>
    <w:rsid w:val="007173FB"/>
    <w:rsid w:val="00720979"/>
    <w:rsid w:val="00720AE1"/>
    <w:rsid w:val="0072215F"/>
    <w:rsid w:val="0072233E"/>
    <w:rsid w:val="007231C5"/>
    <w:rsid w:val="00724C76"/>
    <w:rsid w:val="00727768"/>
    <w:rsid w:val="00731D71"/>
    <w:rsid w:val="0073481D"/>
    <w:rsid w:val="007442D5"/>
    <w:rsid w:val="0074599F"/>
    <w:rsid w:val="007461D1"/>
    <w:rsid w:val="00747B30"/>
    <w:rsid w:val="0075074A"/>
    <w:rsid w:val="00751348"/>
    <w:rsid w:val="0075470C"/>
    <w:rsid w:val="007647A2"/>
    <w:rsid w:val="007665C7"/>
    <w:rsid w:val="0077098B"/>
    <w:rsid w:val="007750AC"/>
    <w:rsid w:val="00782435"/>
    <w:rsid w:val="00782A8F"/>
    <w:rsid w:val="00787D82"/>
    <w:rsid w:val="00787DCD"/>
    <w:rsid w:val="00790201"/>
    <w:rsid w:val="007938B3"/>
    <w:rsid w:val="00797BD6"/>
    <w:rsid w:val="007A0797"/>
    <w:rsid w:val="007A3089"/>
    <w:rsid w:val="007B13EB"/>
    <w:rsid w:val="007B149C"/>
    <w:rsid w:val="007B1550"/>
    <w:rsid w:val="007B1B35"/>
    <w:rsid w:val="007B5D58"/>
    <w:rsid w:val="007B7F60"/>
    <w:rsid w:val="007C1C9A"/>
    <w:rsid w:val="007C27DC"/>
    <w:rsid w:val="007C3A04"/>
    <w:rsid w:val="007C3B34"/>
    <w:rsid w:val="007C524E"/>
    <w:rsid w:val="007C53C5"/>
    <w:rsid w:val="007C5B42"/>
    <w:rsid w:val="007C650D"/>
    <w:rsid w:val="007C7020"/>
    <w:rsid w:val="007C7BC5"/>
    <w:rsid w:val="007D0E77"/>
    <w:rsid w:val="007D2EA0"/>
    <w:rsid w:val="007D5624"/>
    <w:rsid w:val="007D7B0D"/>
    <w:rsid w:val="007D7D56"/>
    <w:rsid w:val="007E15A6"/>
    <w:rsid w:val="007E18EC"/>
    <w:rsid w:val="007E41E7"/>
    <w:rsid w:val="007E42A5"/>
    <w:rsid w:val="007E44BB"/>
    <w:rsid w:val="007F59FB"/>
    <w:rsid w:val="007F786B"/>
    <w:rsid w:val="00800927"/>
    <w:rsid w:val="00801B6A"/>
    <w:rsid w:val="008040A4"/>
    <w:rsid w:val="00804646"/>
    <w:rsid w:val="00810C01"/>
    <w:rsid w:val="0081205C"/>
    <w:rsid w:val="0081336A"/>
    <w:rsid w:val="008136BD"/>
    <w:rsid w:val="00813769"/>
    <w:rsid w:val="00815B3E"/>
    <w:rsid w:val="008165C2"/>
    <w:rsid w:val="00816AB3"/>
    <w:rsid w:val="00821926"/>
    <w:rsid w:val="00824153"/>
    <w:rsid w:val="008266A4"/>
    <w:rsid w:val="00827186"/>
    <w:rsid w:val="00832511"/>
    <w:rsid w:val="00833B61"/>
    <w:rsid w:val="00835C92"/>
    <w:rsid w:val="008436E2"/>
    <w:rsid w:val="00844217"/>
    <w:rsid w:val="00845D81"/>
    <w:rsid w:val="00846CE6"/>
    <w:rsid w:val="00847795"/>
    <w:rsid w:val="00852D06"/>
    <w:rsid w:val="008539CC"/>
    <w:rsid w:val="008549D5"/>
    <w:rsid w:val="00862DBC"/>
    <w:rsid w:val="0086326A"/>
    <w:rsid w:val="00867C58"/>
    <w:rsid w:val="00873119"/>
    <w:rsid w:val="008743F0"/>
    <w:rsid w:val="00881CF8"/>
    <w:rsid w:val="00882E68"/>
    <w:rsid w:val="00885F00"/>
    <w:rsid w:val="008879BA"/>
    <w:rsid w:val="00887D7F"/>
    <w:rsid w:val="00890196"/>
    <w:rsid w:val="00891FF7"/>
    <w:rsid w:val="008924B8"/>
    <w:rsid w:val="00893594"/>
    <w:rsid w:val="008941B9"/>
    <w:rsid w:val="008957EE"/>
    <w:rsid w:val="0089720A"/>
    <w:rsid w:val="0089721D"/>
    <w:rsid w:val="008A10C6"/>
    <w:rsid w:val="008A1EA8"/>
    <w:rsid w:val="008A37AE"/>
    <w:rsid w:val="008A40D3"/>
    <w:rsid w:val="008A6E21"/>
    <w:rsid w:val="008B5C8F"/>
    <w:rsid w:val="008B60C7"/>
    <w:rsid w:val="008B6787"/>
    <w:rsid w:val="008C4B2D"/>
    <w:rsid w:val="008C5707"/>
    <w:rsid w:val="008C5F41"/>
    <w:rsid w:val="008C607C"/>
    <w:rsid w:val="008C6A69"/>
    <w:rsid w:val="008C738F"/>
    <w:rsid w:val="008C7B67"/>
    <w:rsid w:val="008D215C"/>
    <w:rsid w:val="008D719E"/>
    <w:rsid w:val="008E15F0"/>
    <w:rsid w:val="008F1A03"/>
    <w:rsid w:val="008F427A"/>
    <w:rsid w:val="009004D4"/>
    <w:rsid w:val="00901330"/>
    <w:rsid w:val="0091132B"/>
    <w:rsid w:val="00912172"/>
    <w:rsid w:val="0091301A"/>
    <w:rsid w:val="00916A76"/>
    <w:rsid w:val="009234D0"/>
    <w:rsid w:val="00924CC7"/>
    <w:rsid w:val="00926716"/>
    <w:rsid w:val="00927CB2"/>
    <w:rsid w:val="00930EC3"/>
    <w:rsid w:val="00934B40"/>
    <w:rsid w:val="0093527F"/>
    <w:rsid w:val="00941785"/>
    <w:rsid w:val="0094181A"/>
    <w:rsid w:val="00943DCF"/>
    <w:rsid w:val="00946290"/>
    <w:rsid w:val="00952323"/>
    <w:rsid w:val="0095271F"/>
    <w:rsid w:val="009549E3"/>
    <w:rsid w:val="00956251"/>
    <w:rsid w:val="00957138"/>
    <w:rsid w:val="00965143"/>
    <w:rsid w:val="00975E0B"/>
    <w:rsid w:val="00977E3E"/>
    <w:rsid w:val="00981FEA"/>
    <w:rsid w:val="00985F00"/>
    <w:rsid w:val="0098721C"/>
    <w:rsid w:val="00991BB2"/>
    <w:rsid w:val="0099357D"/>
    <w:rsid w:val="00994221"/>
    <w:rsid w:val="00994DF3"/>
    <w:rsid w:val="009A03A5"/>
    <w:rsid w:val="009A638A"/>
    <w:rsid w:val="009B4206"/>
    <w:rsid w:val="009B4260"/>
    <w:rsid w:val="009B56A8"/>
    <w:rsid w:val="009C1764"/>
    <w:rsid w:val="009C2C3E"/>
    <w:rsid w:val="009C3102"/>
    <w:rsid w:val="009C3FBD"/>
    <w:rsid w:val="009C5686"/>
    <w:rsid w:val="009C6859"/>
    <w:rsid w:val="009D0AB9"/>
    <w:rsid w:val="009D17AE"/>
    <w:rsid w:val="009D2962"/>
    <w:rsid w:val="009D526D"/>
    <w:rsid w:val="009D74A4"/>
    <w:rsid w:val="009D7EB2"/>
    <w:rsid w:val="009E361F"/>
    <w:rsid w:val="009E38F7"/>
    <w:rsid w:val="009E63F7"/>
    <w:rsid w:val="009E6D35"/>
    <w:rsid w:val="009F201A"/>
    <w:rsid w:val="009F37F5"/>
    <w:rsid w:val="009F78B2"/>
    <w:rsid w:val="00A03482"/>
    <w:rsid w:val="00A05118"/>
    <w:rsid w:val="00A0534D"/>
    <w:rsid w:val="00A06563"/>
    <w:rsid w:val="00A07317"/>
    <w:rsid w:val="00A10FC4"/>
    <w:rsid w:val="00A111A0"/>
    <w:rsid w:val="00A137C2"/>
    <w:rsid w:val="00A142D5"/>
    <w:rsid w:val="00A14CCA"/>
    <w:rsid w:val="00A21A31"/>
    <w:rsid w:val="00A233FC"/>
    <w:rsid w:val="00A2366D"/>
    <w:rsid w:val="00A23C58"/>
    <w:rsid w:val="00A269A3"/>
    <w:rsid w:val="00A30015"/>
    <w:rsid w:val="00A301BC"/>
    <w:rsid w:val="00A306C0"/>
    <w:rsid w:val="00A313D5"/>
    <w:rsid w:val="00A32E55"/>
    <w:rsid w:val="00A34C03"/>
    <w:rsid w:val="00A367BB"/>
    <w:rsid w:val="00A4221E"/>
    <w:rsid w:val="00A44C9D"/>
    <w:rsid w:val="00A456AA"/>
    <w:rsid w:val="00A46112"/>
    <w:rsid w:val="00A474CC"/>
    <w:rsid w:val="00A47537"/>
    <w:rsid w:val="00A50C12"/>
    <w:rsid w:val="00A5241A"/>
    <w:rsid w:val="00A52739"/>
    <w:rsid w:val="00A5296C"/>
    <w:rsid w:val="00A5491B"/>
    <w:rsid w:val="00A56226"/>
    <w:rsid w:val="00A56F8F"/>
    <w:rsid w:val="00A64DBF"/>
    <w:rsid w:val="00A65302"/>
    <w:rsid w:val="00A65B23"/>
    <w:rsid w:val="00A67813"/>
    <w:rsid w:val="00A70489"/>
    <w:rsid w:val="00A73835"/>
    <w:rsid w:val="00A7409D"/>
    <w:rsid w:val="00A74517"/>
    <w:rsid w:val="00A75964"/>
    <w:rsid w:val="00A8109A"/>
    <w:rsid w:val="00A812C9"/>
    <w:rsid w:val="00A81D8D"/>
    <w:rsid w:val="00A82BB0"/>
    <w:rsid w:val="00A83D67"/>
    <w:rsid w:val="00A846E0"/>
    <w:rsid w:val="00A84FF7"/>
    <w:rsid w:val="00A85297"/>
    <w:rsid w:val="00A85FC0"/>
    <w:rsid w:val="00A91B9E"/>
    <w:rsid w:val="00AA337A"/>
    <w:rsid w:val="00AA412E"/>
    <w:rsid w:val="00AB22EE"/>
    <w:rsid w:val="00AB2765"/>
    <w:rsid w:val="00AB4A20"/>
    <w:rsid w:val="00AB5C96"/>
    <w:rsid w:val="00AB6DEB"/>
    <w:rsid w:val="00AB6EFB"/>
    <w:rsid w:val="00AC031F"/>
    <w:rsid w:val="00AC0F43"/>
    <w:rsid w:val="00AC311F"/>
    <w:rsid w:val="00AC397F"/>
    <w:rsid w:val="00AC3CB5"/>
    <w:rsid w:val="00AC69B4"/>
    <w:rsid w:val="00AC7CAB"/>
    <w:rsid w:val="00AD29A3"/>
    <w:rsid w:val="00AD3064"/>
    <w:rsid w:val="00AD476B"/>
    <w:rsid w:val="00AD5B13"/>
    <w:rsid w:val="00AD609A"/>
    <w:rsid w:val="00AD68C6"/>
    <w:rsid w:val="00AD716E"/>
    <w:rsid w:val="00AE0619"/>
    <w:rsid w:val="00AE2BA0"/>
    <w:rsid w:val="00AE42F7"/>
    <w:rsid w:val="00AE68B4"/>
    <w:rsid w:val="00AE6E03"/>
    <w:rsid w:val="00AE73D3"/>
    <w:rsid w:val="00AE79FC"/>
    <w:rsid w:val="00AF247D"/>
    <w:rsid w:val="00AF3223"/>
    <w:rsid w:val="00AF6027"/>
    <w:rsid w:val="00AF7728"/>
    <w:rsid w:val="00B00AA6"/>
    <w:rsid w:val="00B0240E"/>
    <w:rsid w:val="00B02FCA"/>
    <w:rsid w:val="00B04832"/>
    <w:rsid w:val="00B04EA0"/>
    <w:rsid w:val="00B05237"/>
    <w:rsid w:val="00B0710D"/>
    <w:rsid w:val="00B1577C"/>
    <w:rsid w:val="00B1772E"/>
    <w:rsid w:val="00B2156C"/>
    <w:rsid w:val="00B22CC1"/>
    <w:rsid w:val="00B248DC"/>
    <w:rsid w:val="00B2539C"/>
    <w:rsid w:val="00B27FE1"/>
    <w:rsid w:val="00B36F18"/>
    <w:rsid w:val="00B37EB6"/>
    <w:rsid w:val="00B470E5"/>
    <w:rsid w:val="00B47FAE"/>
    <w:rsid w:val="00B53C26"/>
    <w:rsid w:val="00B54302"/>
    <w:rsid w:val="00B56563"/>
    <w:rsid w:val="00B5676E"/>
    <w:rsid w:val="00B57D29"/>
    <w:rsid w:val="00B60A17"/>
    <w:rsid w:val="00B6284D"/>
    <w:rsid w:val="00B6299B"/>
    <w:rsid w:val="00B63538"/>
    <w:rsid w:val="00B7117B"/>
    <w:rsid w:val="00B73D45"/>
    <w:rsid w:val="00B74844"/>
    <w:rsid w:val="00B755D9"/>
    <w:rsid w:val="00B8027B"/>
    <w:rsid w:val="00B81053"/>
    <w:rsid w:val="00B81FAB"/>
    <w:rsid w:val="00B82409"/>
    <w:rsid w:val="00B82D21"/>
    <w:rsid w:val="00B864A8"/>
    <w:rsid w:val="00B879C7"/>
    <w:rsid w:val="00B9370B"/>
    <w:rsid w:val="00B9385C"/>
    <w:rsid w:val="00B93BCA"/>
    <w:rsid w:val="00B9459B"/>
    <w:rsid w:val="00BA442C"/>
    <w:rsid w:val="00BA70B2"/>
    <w:rsid w:val="00BA7B1C"/>
    <w:rsid w:val="00BB1C0F"/>
    <w:rsid w:val="00BB3680"/>
    <w:rsid w:val="00BB3C33"/>
    <w:rsid w:val="00BB4562"/>
    <w:rsid w:val="00BC06F1"/>
    <w:rsid w:val="00BC292B"/>
    <w:rsid w:val="00BC6D04"/>
    <w:rsid w:val="00BD1B8C"/>
    <w:rsid w:val="00BD1D95"/>
    <w:rsid w:val="00BD2597"/>
    <w:rsid w:val="00BD2F39"/>
    <w:rsid w:val="00BD46A3"/>
    <w:rsid w:val="00BD4D7B"/>
    <w:rsid w:val="00BD523D"/>
    <w:rsid w:val="00BD5C74"/>
    <w:rsid w:val="00BD5D00"/>
    <w:rsid w:val="00BD6B78"/>
    <w:rsid w:val="00BE7333"/>
    <w:rsid w:val="00BE76E7"/>
    <w:rsid w:val="00BF17D6"/>
    <w:rsid w:val="00BF4DFF"/>
    <w:rsid w:val="00C00ABA"/>
    <w:rsid w:val="00C028D3"/>
    <w:rsid w:val="00C02F73"/>
    <w:rsid w:val="00C03512"/>
    <w:rsid w:val="00C0632F"/>
    <w:rsid w:val="00C07C8E"/>
    <w:rsid w:val="00C120AF"/>
    <w:rsid w:val="00C137DD"/>
    <w:rsid w:val="00C138CF"/>
    <w:rsid w:val="00C15EE1"/>
    <w:rsid w:val="00C17EB7"/>
    <w:rsid w:val="00C21B7E"/>
    <w:rsid w:val="00C258F0"/>
    <w:rsid w:val="00C25ADB"/>
    <w:rsid w:val="00C27179"/>
    <w:rsid w:val="00C311AF"/>
    <w:rsid w:val="00C31C06"/>
    <w:rsid w:val="00C35578"/>
    <w:rsid w:val="00C40D11"/>
    <w:rsid w:val="00C4154C"/>
    <w:rsid w:val="00C44233"/>
    <w:rsid w:val="00C56AED"/>
    <w:rsid w:val="00C61CEB"/>
    <w:rsid w:val="00C62C69"/>
    <w:rsid w:val="00C63714"/>
    <w:rsid w:val="00C6387C"/>
    <w:rsid w:val="00C67F5D"/>
    <w:rsid w:val="00C716AF"/>
    <w:rsid w:val="00C71E13"/>
    <w:rsid w:val="00C75026"/>
    <w:rsid w:val="00C762CA"/>
    <w:rsid w:val="00C7637D"/>
    <w:rsid w:val="00C82FF3"/>
    <w:rsid w:val="00C83A80"/>
    <w:rsid w:val="00C83EEB"/>
    <w:rsid w:val="00C86063"/>
    <w:rsid w:val="00C860D0"/>
    <w:rsid w:val="00C87DFA"/>
    <w:rsid w:val="00C92852"/>
    <w:rsid w:val="00C9412C"/>
    <w:rsid w:val="00C94C97"/>
    <w:rsid w:val="00C94CED"/>
    <w:rsid w:val="00C967E1"/>
    <w:rsid w:val="00C96AF2"/>
    <w:rsid w:val="00CA1CFC"/>
    <w:rsid w:val="00CA364A"/>
    <w:rsid w:val="00CA4EB5"/>
    <w:rsid w:val="00CB2F49"/>
    <w:rsid w:val="00CB4B2A"/>
    <w:rsid w:val="00CB4E88"/>
    <w:rsid w:val="00CB6F7D"/>
    <w:rsid w:val="00CB707F"/>
    <w:rsid w:val="00CC41C4"/>
    <w:rsid w:val="00CC56DA"/>
    <w:rsid w:val="00CC5E14"/>
    <w:rsid w:val="00CC61D4"/>
    <w:rsid w:val="00CC7331"/>
    <w:rsid w:val="00CC7A5D"/>
    <w:rsid w:val="00CD05D8"/>
    <w:rsid w:val="00CD1030"/>
    <w:rsid w:val="00CD3B86"/>
    <w:rsid w:val="00CD4695"/>
    <w:rsid w:val="00CD7443"/>
    <w:rsid w:val="00CE0DBF"/>
    <w:rsid w:val="00CE1D17"/>
    <w:rsid w:val="00CE29C0"/>
    <w:rsid w:val="00CE5137"/>
    <w:rsid w:val="00CE53E6"/>
    <w:rsid w:val="00CF397A"/>
    <w:rsid w:val="00CF4C54"/>
    <w:rsid w:val="00CF5AED"/>
    <w:rsid w:val="00CF7949"/>
    <w:rsid w:val="00CF7F83"/>
    <w:rsid w:val="00D013A6"/>
    <w:rsid w:val="00D0259E"/>
    <w:rsid w:val="00D02CA8"/>
    <w:rsid w:val="00D03722"/>
    <w:rsid w:val="00D075DF"/>
    <w:rsid w:val="00D14114"/>
    <w:rsid w:val="00D143EB"/>
    <w:rsid w:val="00D16321"/>
    <w:rsid w:val="00D164A5"/>
    <w:rsid w:val="00D16A31"/>
    <w:rsid w:val="00D20EEF"/>
    <w:rsid w:val="00D2213E"/>
    <w:rsid w:val="00D2441C"/>
    <w:rsid w:val="00D245C4"/>
    <w:rsid w:val="00D265AB"/>
    <w:rsid w:val="00D31F3A"/>
    <w:rsid w:val="00D329B5"/>
    <w:rsid w:val="00D3421E"/>
    <w:rsid w:val="00D354AF"/>
    <w:rsid w:val="00D36136"/>
    <w:rsid w:val="00D41047"/>
    <w:rsid w:val="00D4348B"/>
    <w:rsid w:val="00D43706"/>
    <w:rsid w:val="00D43D51"/>
    <w:rsid w:val="00D45314"/>
    <w:rsid w:val="00D47DF3"/>
    <w:rsid w:val="00D505EB"/>
    <w:rsid w:val="00D514DA"/>
    <w:rsid w:val="00D51857"/>
    <w:rsid w:val="00D52DBE"/>
    <w:rsid w:val="00D52FE9"/>
    <w:rsid w:val="00D534CA"/>
    <w:rsid w:val="00D53639"/>
    <w:rsid w:val="00D60AC8"/>
    <w:rsid w:val="00D63314"/>
    <w:rsid w:val="00D65E90"/>
    <w:rsid w:val="00D662CD"/>
    <w:rsid w:val="00D67FC1"/>
    <w:rsid w:val="00D712BA"/>
    <w:rsid w:val="00D719C6"/>
    <w:rsid w:val="00D71F1F"/>
    <w:rsid w:val="00D7596A"/>
    <w:rsid w:val="00D77CFC"/>
    <w:rsid w:val="00D82F5F"/>
    <w:rsid w:val="00D83CD4"/>
    <w:rsid w:val="00D84E90"/>
    <w:rsid w:val="00D9042E"/>
    <w:rsid w:val="00D90A08"/>
    <w:rsid w:val="00D9150B"/>
    <w:rsid w:val="00D918A2"/>
    <w:rsid w:val="00D9283C"/>
    <w:rsid w:val="00DA2B91"/>
    <w:rsid w:val="00DA6364"/>
    <w:rsid w:val="00DB2E1A"/>
    <w:rsid w:val="00DB6E2D"/>
    <w:rsid w:val="00DC077A"/>
    <w:rsid w:val="00DC320B"/>
    <w:rsid w:val="00DC3EB5"/>
    <w:rsid w:val="00DC4636"/>
    <w:rsid w:val="00DC636B"/>
    <w:rsid w:val="00DD1033"/>
    <w:rsid w:val="00DD2A01"/>
    <w:rsid w:val="00DD30AE"/>
    <w:rsid w:val="00DD3BA5"/>
    <w:rsid w:val="00DD4065"/>
    <w:rsid w:val="00DD4C32"/>
    <w:rsid w:val="00DD54B1"/>
    <w:rsid w:val="00DD7E20"/>
    <w:rsid w:val="00DE3322"/>
    <w:rsid w:val="00DE4470"/>
    <w:rsid w:val="00DE59D7"/>
    <w:rsid w:val="00DE5DF5"/>
    <w:rsid w:val="00DE61DE"/>
    <w:rsid w:val="00DE7D1A"/>
    <w:rsid w:val="00DF05C4"/>
    <w:rsid w:val="00DF0CE3"/>
    <w:rsid w:val="00DF0D56"/>
    <w:rsid w:val="00DF1229"/>
    <w:rsid w:val="00DF12F4"/>
    <w:rsid w:val="00DF3DBA"/>
    <w:rsid w:val="00DF709E"/>
    <w:rsid w:val="00DF7D28"/>
    <w:rsid w:val="00DF7ED9"/>
    <w:rsid w:val="00E009AC"/>
    <w:rsid w:val="00E01FA2"/>
    <w:rsid w:val="00E053D7"/>
    <w:rsid w:val="00E06FA3"/>
    <w:rsid w:val="00E074F4"/>
    <w:rsid w:val="00E126EB"/>
    <w:rsid w:val="00E13023"/>
    <w:rsid w:val="00E16164"/>
    <w:rsid w:val="00E20A39"/>
    <w:rsid w:val="00E21DD8"/>
    <w:rsid w:val="00E25EEF"/>
    <w:rsid w:val="00E2680D"/>
    <w:rsid w:val="00E31748"/>
    <w:rsid w:val="00E31976"/>
    <w:rsid w:val="00E35912"/>
    <w:rsid w:val="00E35A5B"/>
    <w:rsid w:val="00E41A91"/>
    <w:rsid w:val="00E4223B"/>
    <w:rsid w:val="00E42AE3"/>
    <w:rsid w:val="00E466DC"/>
    <w:rsid w:val="00E468BD"/>
    <w:rsid w:val="00E47F05"/>
    <w:rsid w:val="00E51752"/>
    <w:rsid w:val="00E5421E"/>
    <w:rsid w:val="00E54786"/>
    <w:rsid w:val="00E54866"/>
    <w:rsid w:val="00E568AD"/>
    <w:rsid w:val="00E57EAC"/>
    <w:rsid w:val="00E60DCE"/>
    <w:rsid w:val="00E637C9"/>
    <w:rsid w:val="00E6616B"/>
    <w:rsid w:val="00E6629B"/>
    <w:rsid w:val="00E71918"/>
    <w:rsid w:val="00E75493"/>
    <w:rsid w:val="00E76C5B"/>
    <w:rsid w:val="00E7707D"/>
    <w:rsid w:val="00E86271"/>
    <w:rsid w:val="00E87F06"/>
    <w:rsid w:val="00E909DA"/>
    <w:rsid w:val="00E934B2"/>
    <w:rsid w:val="00E93993"/>
    <w:rsid w:val="00E976C0"/>
    <w:rsid w:val="00EA074E"/>
    <w:rsid w:val="00EA2434"/>
    <w:rsid w:val="00EA2A07"/>
    <w:rsid w:val="00EA4E3C"/>
    <w:rsid w:val="00EA7DDF"/>
    <w:rsid w:val="00EB28C2"/>
    <w:rsid w:val="00EB690C"/>
    <w:rsid w:val="00EC0BC1"/>
    <w:rsid w:val="00EC0E84"/>
    <w:rsid w:val="00EC1E34"/>
    <w:rsid w:val="00EC1E71"/>
    <w:rsid w:val="00EC5037"/>
    <w:rsid w:val="00EC582D"/>
    <w:rsid w:val="00ED0034"/>
    <w:rsid w:val="00ED243D"/>
    <w:rsid w:val="00ED3264"/>
    <w:rsid w:val="00ED500A"/>
    <w:rsid w:val="00ED560B"/>
    <w:rsid w:val="00EE0B17"/>
    <w:rsid w:val="00EE2B5D"/>
    <w:rsid w:val="00EE2F62"/>
    <w:rsid w:val="00EE42EA"/>
    <w:rsid w:val="00EF00C6"/>
    <w:rsid w:val="00EF2484"/>
    <w:rsid w:val="00EF2C10"/>
    <w:rsid w:val="00EF3111"/>
    <w:rsid w:val="00EF3B1F"/>
    <w:rsid w:val="00EF3D8F"/>
    <w:rsid w:val="00EF6DEE"/>
    <w:rsid w:val="00EF7985"/>
    <w:rsid w:val="00F04205"/>
    <w:rsid w:val="00F0531D"/>
    <w:rsid w:val="00F0590C"/>
    <w:rsid w:val="00F07481"/>
    <w:rsid w:val="00F07FCA"/>
    <w:rsid w:val="00F11424"/>
    <w:rsid w:val="00F11DF9"/>
    <w:rsid w:val="00F12E5E"/>
    <w:rsid w:val="00F13862"/>
    <w:rsid w:val="00F14339"/>
    <w:rsid w:val="00F150E8"/>
    <w:rsid w:val="00F16342"/>
    <w:rsid w:val="00F2011A"/>
    <w:rsid w:val="00F202D0"/>
    <w:rsid w:val="00F27C9B"/>
    <w:rsid w:val="00F326D5"/>
    <w:rsid w:val="00F34A7B"/>
    <w:rsid w:val="00F35F3D"/>
    <w:rsid w:val="00F36AFE"/>
    <w:rsid w:val="00F37EE9"/>
    <w:rsid w:val="00F37F22"/>
    <w:rsid w:val="00F40675"/>
    <w:rsid w:val="00F438A7"/>
    <w:rsid w:val="00F444CE"/>
    <w:rsid w:val="00F459C2"/>
    <w:rsid w:val="00F51273"/>
    <w:rsid w:val="00F523FA"/>
    <w:rsid w:val="00F540F9"/>
    <w:rsid w:val="00F56222"/>
    <w:rsid w:val="00F56B39"/>
    <w:rsid w:val="00F60B40"/>
    <w:rsid w:val="00F61745"/>
    <w:rsid w:val="00F61E9C"/>
    <w:rsid w:val="00F6449B"/>
    <w:rsid w:val="00F67321"/>
    <w:rsid w:val="00F73009"/>
    <w:rsid w:val="00F74C84"/>
    <w:rsid w:val="00F800BC"/>
    <w:rsid w:val="00F805A7"/>
    <w:rsid w:val="00F8075D"/>
    <w:rsid w:val="00F809AB"/>
    <w:rsid w:val="00F811F8"/>
    <w:rsid w:val="00F84CEF"/>
    <w:rsid w:val="00F8508C"/>
    <w:rsid w:val="00F85476"/>
    <w:rsid w:val="00F90356"/>
    <w:rsid w:val="00F90CAD"/>
    <w:rsid w:val="00F90EEB"/>
    <w:rsid w:val="00F94699"/>
    <w:rsid w:val="00F95722"/>
    <w:rsid w:val="00F95964"/>
    <w:rsid w:val="00F96D67"/>
    <w:rsid w:val="00F97AE3"/>
    <w:rsid w:val="00FA143B"/>
    <w:rsid w:val="00FA1704"/>
    <w:rsid w:val="00FA4CF2"/>
    <w:rsid w:val="00FA5729"/>
    <w:rsid w:val="00FA7021"/>
    <w:rsid w:val="00FA733A"/>
    <w:rsid w:val="00FA78F7"/>
    <w:rsid w:val="00FB1649"/>
    <w:rsid w:val="00FB1859"/>
    <w:rsid w:val="00FB20CF"/>
    <w:rsid w:val="00FB31E6"/>
    <w:rsid w:val="00FB4963"/>
    <w:rsid w:val="00FB5959"/>
    <w:rsid w:val="00FB5E9C"/>
    <w:rsid w:val="00FB6D7C"/>
    <w:rsid w:val="00FB7CDE"/>
    <w:rsid w:val="00FC0948"/>
    <w:rsid w:val="00FC0AC3"/>
    <w:rsid w:val="00FC0E34"/>
    <w:rsid w:val="00FC260B"/>
    <w:rsid w:val="00FC7419"/>
    <w:rsid w:val="00FC74E0"/>
    <w:rsid w:val="00FD328E"/>
    <w:rsid w:val="00FD7D66"/>
    <w:rsid w:val="00FE255A"/>
    <w:rsid w:val="00FF01BA"/>
    <w:rsid w:val="00FF0281"/>
    <w:rsid w:val="00FF0FD0"/>
    <w:rsid w:val="00FF4085"/>
    <w:rsid w:val="00FF442F"/>
    <w:rsid w:val="00FF5669"/>
    <w:rsid w:val="00FF62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8E4EEE"/>
  <w15:docId w15:val="{35AB9853-39AF-4F2D-BA54-30128CF4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75D"/>
    <w:pPr>
      <w:spacing w:after="0" w:line="300" w:lineRule="auto"/>
      <w:jc w:val="both"/>
    </w:pPr>
    <w:rPr>
      <w:rFonts w:ascii="Times New Roman" w:hAnsi="Times New Roman"/>
      <w:sz w:val="24"/>
    </w:rPr>
  </w:style>
  <w:style w:type="paragraph" w:styleId="Overskrift1">
    <w:name w:val="heading 1"/>
    <w:basedOn w:val="Normal"/>
    <w:next w:val="Normal"/>
    <w:link w:val="Overskrift1Tegn"/>
    <w:uiPriority w:val="9"/>
    <w:qFormat/>
    <w:rsid w:val="00A06563"/>
    <w:pPr>
      <w:keepNext/>
      <w:keepLines/>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A06563"/>
    <w:pPr>
      <w:keepNext/>
      <w:keepLines/>
      <w:outlineLvl w:val="1"/>
    </w:pPr>
    <w:rPr>
      <w:rFonts w:eastAsiaTheme="majorEastAsia" w:cstheme="majorBidi"/>
      <w:b/>
      <w:bCs/>
      <w:sz w:val="28"/>
      <w:szCs w:val="26"/>
    </w:rPr>
  </w:style>
  <w:style w:type="paragraph" w:styleId="Overskrift3">
    <w:name w:val="heading 3"/>
    <w:basedOn w:val="Normal"/>
    <w:next w:val="Normal"/>
    <w:link w:val="Overskrift3Tegn"/>
    <w:uiPriority w:val="9"/>
    <w:semiHidden/>
    <w:unhideWhenUsed/>
    <w:qFormat/>
    <w:rsid w:val="00F0531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06563"/>
    <w:rPr>
      <w:rFonts w:ascii="Times New Roman" w:eastAsiaTheme="majorEastAsia" w:hAnsi="Times New Roman" w:cstheme="majorBidi"/>
      <w:b/>
      <w:bCs/>
      <w:sz w:val="28"/>
      <w:szCs w:val="28"/>
    </w:rPr>
  </w:style>
  <w:style w:type="character" w:customStyle="1" w:styleId="Overskrift2Tegn">
    <w:name w:val="Overskrift 2 Tegn"/>
    <w:basedOn w:val="Standardskrifttypeiafsnit"/>
    <w:link w:val="Overskrift2"/>
    <w:uiPriority w:val="9"/>
    <w:rsid w:val="00A06563"/>
    <w:rPr>
      <w:rFonts w:ascii="Times New Roman" w:eastAsiaTheme="majorEastAsia" w:hAnsi="Times New Roman" w:cstheme="majorBidi"/>
      <w:b/>
      <w:bCs/>
      <w:sz w:val="28"/>
      <w:szCs w:val="26"/>
    </w:rPr>
  </w:style>
  <w:style w:type="paragraph" w:styleId="Titel">
    <w:name w:val="Title"/>
    <w:basedOn w:val="Normal"/>
    <w:next w:val="Normal"/>
    <w:link w:val="TitelTegn"/>
    <w:uiPriority w:val="10"/>
    <w:qFormat/>
    <w:rsid w:val="00A10FC4"/>
    <w:pPr>
      <w:spacing w:before="240" w:after="60"/>
      <w:contextualSpacing/>
    </w:pPr>
    <w:rPr>
      <w:rFonts w:eastAsiaTheme="majorEastAsia" w:cstheme="majorBidi"/>
      <w:b/>
      <w:spacing w:val="5"/>
      <w:kern w:val="28"/>
      <w:sz w:val="32"/>
      <w:szCs w:val="52"/>
    </w:rPr>
  </w:style>
  <w:style w:type="character" w:customStyle="1" w:styleId="TitelTegn">
    <w:name w:val="Titel Tegn"/>
    <w:basedOn w:val="Standardskrifttypeiafsnit"/>
    <w:link w:val="Titel"/>
    <w:uiPriority w:val="10"/>
    <w:rsid w:val="00A10FC4"/>
    <w:rPr>
      <w:rFonts w:ascii="Times New Roman" w:eastAsiaTheme="majorEastAsia" w:hAnsi="Times New Roman" w:cstheme="majorBidi"/>
      <w:b/>
      <w:spacing w:val="5"/>
      <w:kern w:val="28"/>
      <w:sz w:val="32"/>
      <w:szCs w:val="52"/>
    </w:rPr>
  </w:style>
  <w:style w:type="paragraph" w:styleId="Undertitel">
    <w:name w:val="Subtitle"/>
    <w:basedOn w:val="Normal"/>
    <w:next w:val="Normal"/>
    <w:link w:val="UndertitelTegn"/>
    <w:uiPriority w:val="11"/>
    <w:qFormat/>
    <w:rsid w:val="00A10FC4"/>
    <w:pPr>
      <w:numPr>
        <w:ilvl w:val="1"/>
      </w:numPr>
      <w:spacing w:after="60"/>
      <w:outlineLvl w:val="1"/>
    </w:pPr>
    <w:rPr>
      <w:rFonts w:eastAsiaTheme="majorEastAsia" w:cstheme="majorBidi"/>
      <w:iCs/>
      <w:spacing w:val="15"/>
      <w:szCs w:val="24"/>
    </w:rPr>
  </w:style>
  <w:style w:type="character" w:customStyle="1" w:styleId="UndertitelTegn">
    <w:name w:val="Undertitel Tegn"/>
    <w:basedOn w:val="Standardskrifttypeiafsnit"/>
    <w:link w:val="Undertitel"/>
    <w:uiPriority w:val="11"/>
    <w:rsid w:val="00A10FC4"/>
    <w:rPr>
      <w:rFonts w:ascii="Times New Roman" w:eastAsiaTheme="majorEastAsia" w:hAnsi="Times New Roman" w:cstheme="majorBidi"/>
      <w:iCs/>
      <w:spacing w:val="15"/>
      <w:sz w:val="24"/>
      <w:szCs w:val="24"/>
    </w:rPr>
  </w:style>
  <w:style w:type="paragraph" w:styleId="Sidehoved">
    <w:name w:val="header"/>
    <w:basedOn w:val="Normal"/>
    <w:link w:val="SidehovedTegn"/>
    <w:uiPriority w:val="99"/>
    <w:unhideWhenUsed/>
    <w:rsid w:val="00D712B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712BA"/>
    <w:rPr>
      <w:rFonts w:ascii="Times New Roman" w:hAnsi="Times New Roman"/>
      <w:sz w:val="24"/>
    </w:rPr>
  </w:style>
  <w:style w:type="paragraph" w:styleId="Sidefod">
    <w:name w:val="footer"/>
    <w:basedOn w:val="Normal"/>
    <w:link w:val="SidefodTegn"/>
    <w:unhideWhenUsed/>
    <w:rsid w:val="00D712BA"/>
    <w:pPr>
      <w:tabs>
        <w:tab w:val="center" w:pos="4819"/>
        <w:tab w:val="right" w:pos="9638"/>
      </w:tabs>
      <w:spacing w:line="240" w:lineRule="auto"/>
    </w:pPr>
  </w:style>
  <w:style w:type="character" w:customStyle="1" w:styleId="SidefodTegn">
    <w:name w:val="Sidefod Tegn"/>
    <w:basedOn w:val="Standardskrifttypeiafsnit"/>
    <w:link w:val="Sidefod"/>
    <w:rsid w:val="00D712BA"/>
    <w:rPr>
      <w:rFonts w:ascii="Times New Roman" w:hAnsi="Times New Roman"/>
      <w:sz w:val="24"/>
    </w:rPr>
  </w:style>
  <w:style w:type="paragraph" w:styleId="Markeringsbobletekst">
    <w:name w:val="Balloon Text"/>
    <w:basedOn w:val="Normal"/>
    <w:link w:val="MarkeringsbobletekstTegn"/>
    <w:uiPriority w:val="99"/>
    <w:semiHidden/>
    <w:unhideWhenUsed/>
    <w:rsid w:val="00D712B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712BA"/>
    <w:rPr>
      <w:rFonts w:ascii="Tahoma" w:hAnsi="Tahoma" w:cs="Tahoma"/>
      <w:sz w:val="16"/>
      <w:szCs w:val="16"/>
    </w:rPr>
  </w:style>
  <w:style w:type="character" w:styleId="Sidetal">
    <w:name w:val="page number"/>
    <w:basedOn w:val="Standardskrifttypeiafsnit"/>
    <w:semiHidden/>
    <w:unhideWhenUsed/>
    <w:rsid w:val="005931A1"/>
  </w:style>
  <w:style w:type="paragraph" w:styleId="Citat">
    <w:name w:val="Quote"/>
    <w:basedOn w:val="Normal"/>
    <w:next w:val="Normal"/>
    <w:link w:val="CitatTegn"/>
    <w:uiPriority w:val="29"/>
    <w:qFormat/>
    <w:rsid w:val="00450BA6"/>
    <w:pPr>
      <w:ind w:left="567" w:right="567"/>
    </w:pPr>
    <w:rPr>
      <w:i/>
      <w:iCs/>
      <w:color w:val="000000" w:themeColor="text1"/>
    </w:rPr>
  </w:style>
  <w:style w:type="character" w:customStyle="1" w:styleId="CitatTegn">
    <w:name w:val="Citat Tegn"/>
    <w:basedOn w:val="Standardskrifttypeiafsnit"/>
    <w:link w:val="Citat"/>
    <w:uiPriority w:val="29"/>
    <w:rsid w:val="00450BA6"/>
    <w:rPr>
      <w:rFonts w:ascii="Times New Roman" w:hAnsi="Times New Roman"/>
      <w:i/>
      <w:iCs/>
      <w:color w:val="000000" w:themeColor="text1"/>
      <w:sz w:val="24"/>
    </w:rPr>
  </w:style>
  <w:style w:type="character" w:styleId="Hyperlink">
    <w:name w:val="Hyperlink"/>
    <w:basedOn w:val="Standardskrifttypeiafsnit"/>
    <w:uiPriority w:val="99"/>
    <w:unhideWhenUsed/>
    <w:rsid w:val="00092308"/>
    <w:rPr>
      <w:color w:val="0000FF" w:themeColor="hyperlink"/>
      <w:u w:val="single"/>
    </w:rPr>
  </w:style>
  <w:style w:type="table" w:customStyle="1" w:styleId="IndreTabel">
    <w:name w:val="IndreTabel"/>
    <w:basedOn w:val="Tabel-Normal"/>
    <w:uiPriority w:val="99"/>
    <w:rsid w:val="003B174B"/>
    <w:pPr>
      <w:spacing w:after="0" w:line="240" w:lineRule="auto"/>
    </w:pPr>
    <w:tblPr>
      <w:tblBorders>
        <w:top w:val="single" w:sz="8" w:space="0" w:color="E4E2D9"/>
        <w:bottom w:val="single" w:sz="8" w:space="0" w:color="E4E2D9"/>
        <w:insideH w:val="single" w:sz="8" w:space="0" w:color="E4E2D9"/>
      </w:tblBorders>
      <w:tblCellMar>
        <w:left w:w="0" w:type="dxa"/>
        <w:right w:w="0" w:type="dxa"/>
      </w:tblCellMar>
    </w:tblPr>
    <w:tcPr>
      <w:shd w:val="clear" w:color="auto" w:fill="auto"/>
      <w:vAlign w:val="center"/>
    </w:tcPr>
  </w:style>
  <w:style w:type="paragraph" w:customStyle="1" w:styleId="IndreTabelTekstVenstre">
    <w:name w:val="IndreTabelTekstVenstre"/>
    <w:basedOn w:val="Normal"/>
    <w:rsid w:val="003B174B"/>
    <w:pPr>
      <w:spacing w:line="150" w:lineRule="atLeast"/>
      <w:jc w:val="left"/>
    </w:pPr>
    <w:rPr>
      <w:sz w:val="14"/>
    </w:rPr>
  </w:style>
  <w:style w:type="paragraph" w:customStyle="1" w:styleId="IndreTabelTekstHjre">
    <w:name w:val="IndreTabelTekstHøjre"/>
    <w:basedOn w:val="IndreTabelTekstVenstre"/>
    <w:rsid w:val="003B174B"/>
    <w:pPr>
      <w:jc w:val="right"/>
    </w:pPr>
  </w:style>
  <w:style w:type="paragraph" w:customStyle="1" w:styleId="IndreTabelOverskriftHjre">
    <w:name w:val="IndreTabelOverskriftHøjre"/>
    <w:basedOn w:val="IndreTabelTekstHjre"/>
    <w:rsid w:val="003B174B"/>
    <w:rPr>
      <w:b/>
    </w:rPr>
  </w:style>
  <w:style w:type="paragraph" w:customStyle="1" w:styleId="IndreTabelOverskriftVenstre">
    <w:name w:val="IndreTabelOverskriftVenstre"/>
    <w:basedOn w:val="IndreTabelTekstVenstre"/>
    <w:rsid w:val="003B174B"/>
    <w:rPr>
      <w:i/>
    </w:rPr>
  </w:style>
  <w:style w:type="paragraph" w:customStyle="1" w:styleId="IndreTabelUnderoverskriftHjre">
    <w:name w:val="IndreTabelUnderoverskriftHøjre"/>
    <w:basedOn w:val="IndreTabelTekstHjre"/>
    <w:rsid w:val="003B174B"/>
    <w:rPr>
      <w:b/>
    </w:rPr>
  </w:style>
  <w:style w:type="paragraph" w:customStyle="1" w:styleId="IndreTabelUnderoverskriftVenstre">
    <w:name w:val="IndreTabelUnderoverskriftVenstre"/>
    <w:basedOn w:val="IndreTabelTekstVenstre"/>
    <w:rsid w:val="003B174B"/>
    <w:rPr>
      <w:b/>
    </w:rPr>
  </w:style>
  <w:style w:type="paragraph" w:customStyle="1" w:styleId="TabelKilde">
    <w:name w:val="TabelKilde"/>
    <w:basedOn w:val="Normal"/>
    <w:rsid w:val="003B174B"/>
    <w:pPr>
      <w:ind w:left="227" w:right="227"/>
    </w:pPr>
    <w:rPr>
      <w:color w:val="000000"/>
      <w:sz w:val="14"/>
    </w:rPr>
  </w:style>
  <w:style w:type="paragraph" w:customStyle="1" w:styleId="TabelOverskrift">
    <w:name w:val="TabelOverskrift"/>
    <w:basedOn w:val="Normal"/>
    <w:rsid w:val="003B174B"/>
    <w:pPr>
      <w:spacing w:after="210" w:line="210" w:lineRule="atLeast"/>
      <w:ind w:left="227" w:right="227"/>
    </w:pPr>
    <w:rPr>
      <w:b/>
      <w:color w:val="000000"/>
      <w:sz w:val="14"/>
    </w:rPr>
  </w:style>
  <w:style w:type="paragraph" w:customStyle="1" w:styleId="TabelTitel">
    <w:name w:val="TabelTitel"/>
    <w:basedOn w:val="Normal"/>
    <w:rsid w:val="003B174B"/>
    <w:pPr>
      <w:spacing w:before="170" w:line="230" w:lineRule="atLeast"/>
      <w:ind w:left="227" w:right="227"/>
    </w:pPr>
    <w:rPr>
      <w:b/>
      <w:color w:val="031D5C"/>
      <w:sz w:val="15"/>
    </w:rPr>
  </w:style>
  <w:style w:type="table" w:customStyle="1" w:styleId="YdreTabel">
    <w:name w:val="YdreTabel"/>
    <w:basedOn w:val="Tabel-Normal"/>
    <w:uiPriority w:val="99"/>
    <w:rsid w:val="003B174B"/>
    <w:pPr>
      <w:spacing w:after="0" w:line="240" w:lineRule="auto"/>
    </w:pPr>
    <w:rPr>
      <w:rFonts w:ascii="Times New Roman" w:hAnsi="Times New Roman"/>
      <w:sz w:val="14"/>
    </w:rPr>
    <w:tblPr>
      <w:tblStyleRowBandSize w:val="1"/>
      <w:tblBorders>
        <w:top w:val="single" w:sz="4" w:space="0" w:color="auto"/>
      </w:tblBorders>
      <w:tblCellMar>
        <w:left w:w="0" w:type="dxa"/>
        <w:right w:w="0" w:type="dxa"/>
      </w:tblCellMar>
    </w:tblPr>
    <w:tcPr>
      <w:shd w:val="clear" w:color="auto" w:fill="F9F8E0"/>
    </w:tcPr>
    <w:tblStylePr w:type="firstRow">
      <w:tblPr/>
      <w:tcPr>
        <w:shd w:val="clear" w:color="auto" w:fill="F9F8E0"/>
      </w:tcPr>
    </w:tblStylePr>
    <w:tblStylePr w:type="lastRow">
      <w:tblPr/>
      <w:tcPr>
        <w:tcBorders>
          <w:top w:val="nil"/>
          <w:left w:val="nil"/>
          <w:bottom w:val="nil"/>
          <w:right w:val="nil"/>
          <w:insideH w:val="nil"/>
          <w:insideV w:val="nil"/>
          <w:tl2br w:val="nil"/>
          <w:tr2bl w:val="nil"/>
        </w:tcBorders>
        <w:shd w:val="clear" w:color="auto" w:fill="F9F8E0"/>
      </w:tcPr>
    </w:tblStylePr>
    <w:tblStylePr w:type="band1Horz">
      <w:tblPr/>
      <w:tcPr>
        <w:shd w:val="clear" w:color="auto" w:fill="F9F8E0"/>
      </w:tcPr>
    </w:tblStylePr>
    <w:tblStylePr w:type="band2Horz">
      <w:tblPr/>
      <w:tcPr>
        <w:shd w:val="clear" w:color="auto" w:fill="F9F8E0"/>
      </w:tcPr>
    </w:tblStylePr>
  </w:style>
  <w:style w:type="character" w:styleId="Pladsholdertekst">
    <w:name w:val="Placeholder Text"/>
    <w:basedOn w:val="Standardskrifttypeiafsnit"/>
    <w:uiPriority w:val="99"/>
    <w:semiHidden/>
    <w:rsid w:val="00EA074E"/>
    <w:rPr>
      <w:color w:val="808080"/>
    </w:rPr>
  </w:style>
  <w:style w:type="character" w:customStyle="1" w:styleId="Overskrift3Tegn">
    <w:name w:val="Overskrift 3 Tegn"/>
    <w:basedOn w:val="Standardskrifttypeiafsnit"/>
    <w:link w:val="Overskrift3"/>
    <w:uiPriority w:val="9"/>
    <w:semiHidden/>
    <w:rsid w:val="00F0531D"/>
    <w:rPr>
      <w:rFonts w:asciiTheme="majorHAnsi" w:eastAsiaTheme="majorEastAsia" w:hAnsiTheme="majorHAnsi" w:cstheme="majorBidi"/>
      <w:color w:val="243F60" w:themeColor="accent1" w:themeShade="7F"/>
      <w:sz w:val="24"/>
      <w:szCs w:val="24"/>
    </w:rPr>
  </w:style>
  <w:style w:type="paragraph" w:styleId="Listeafsnit">
    <w:name w:val="List Paragraph"/>
    <w:basedOn w:val="Normal"/>
    <w:uiPriority w:val="34"/>
    <w:qFormat/>
    <w:rsid w:val="00F0531D"/>
    <w:pPr>
      <w:spacing w:after="200" w:line="276" w:lineRule="auto"/>
      <w:ind w:left="720"/>
      <w:contextualSpacing/>
      <w:jc w:val="left"/>
    </w:pPr>
    <w:rPr>
      <w:rFonts w:asciiTheme="minorHAnsi" w:hAnsiTheme="minorHAnsi"/>
      <w:sz w:val="22"/>
    </w:rPr>
  </w:style>
  <w:style w:type="paragraph" w:styleId="Indholdsfortegnelse1">
    <w:name w:val="toc 1"/>
    <w:basedOn w:val="Normal"/>
    <w:next w:val="Normal"/>
    <w:autoRedefine/>
    <w:uiPriority w:val="39"/>
    <w:unhideWhenUsed/>
    <w:rsid w:val="00F0531D"/>
    <w:pPr>
      <w:spacing w:after="100"/>
    </w:pPr>
  </w:style>
  <w:style w:type="paragraph" w:styleId="Indholdsfortegnelse2">
    <w:name w:val="toc 2"/>
    <w:basedOn w:val="Normal"/>
    <w:next w:val="Normal"/>
    <w:autoRedefine/>
    <w:uiPriority w:val="39"/>
    <w:unhideWhenUsed/>
    <w:rsid w:val="00F0531D"/>
    <w:pPr>
      <w:spacing w:after="100"/>
      <w:ind w:left="240"/>
    </w:pPr>
  </w:style>
  <w:style w:type="paragraph" w:styleId="Indholdsfortegnelse3">
    <w:name w:val="toc 3"/>
    <w:basedOn w:val="Normal"/>
    <w:next w:val="Normal"/>
    <w:autoRedefine/>
    <w:uiPriority w:val="39"/>
    <w:unhideWhenUsed/>
    <w:rsid w:val="00F0531D"/>
    <w:pPr>
      <w:spacing w:after="100"/>
      <w:ind w:left="480"/>
    </w:pPr>
  </w:style>
  <w:style w:type="character" w:customStyle="1" w:styleId="KommentartekstTegn">
    <w:name w:val="Kommentartekst Tegn"/>
    <w:basedOn w:val="Standardskrifttypeiafsnit"/>
    <w:link w:val="Kommentartekst"/>
    <w:uiPriority w:val="99"/>
    <w:rsid w:val="00F0531D"/>
    <w:rPr>
      <w:rFonts w:ascii="Times New Roman" w:hAnsi="Times New Roman"/>
      <w:sz w:val="20"/>
      <w:szCs w:val="20"/>
    </w:rPr>
  </w:style>
  <w:style w:type="paragraph" w:styleId="Kommentartekst">
    <w:name w:val="annotation text"/>
    <w:basedOn w:val="Normal"/>
    <w:link w:val="KommentartekstTegn"/>
    <w:uiPriority w:val="99"/>
    <w:unhideWhenUsed/>
    <w:rsid w:val="00F0531D"/>
    <w:pPr>
      <w:spacing w:line="240" w:lineRule="auto"/>
    </w:pPr>
    <w:rPr>
      <w:sz w:val="20"/>
      <w:szCs w:val="20"/>
    </w:rPr>
  </w:style>
  <w:style w:type="character" w:customStyle="1" w:styleId="KommentaremneTegn">
    <w:name w:val="Kommentaremne Tegn"/>
    <w:basedOn w:val="KommentartekstTegn"/>
    <w:link w:val="Kommentaremne"/>
    <w:uiPriority w:val="99"/>
    <w:semiHidden/>
    <w:rsid w:val="00F0531D"/>
    <w:rPr>
      <w:rFonts w:ascii="Times New Roman" w:hAnsi="Times New Roman"/>
      <w:b/>
      <w:bCs/>
      <w:sz w:val="20"/>
      <w:szCs w:val="20"/>
    </w:rPr>
  </w:style>
  <w:style w:type="paragraph" w:styleId="Kommentaremne">
    <w:name w:val="annotation subject"/>
    <w:basedOn w:val="Kommentartekst"/>
    <w:next w:val="Kommentartekst"/>
    <w:link w:val="KommentaremneTegn"/>
    <w:uiPriority w:val="99"/>
    <w:semiHidden/>
    <w:unhideWhenUsed/>
    <w:rsid w:val="00F0531D"/>
    <w:rPr>
      <w:b/>
      <w:bCs/>
    </w:rPr>
  </w:style>
  <w:style w:type="character" w:styleId="Kommentarhenvisning">
    <w:name w:val="annotation reference"/>
    <w:basedOn w:val="Standardskrifttypeiafsnit"/>
    <w:uiPriority w:val="99"/>
    <w:semiHidden/>
    <w:unhideWhenUsed/>
    <w:rsid w:val="00D265AB"/>
    <w:rPr>
      <w:sz w:val="16"/>
      <w:szCs w:val="16"/>
    </w:rPr>
  </w:style>
  <w:style w:type="paragraph" w:styleId="Fodnotetekst">
    <w:name w:val="footnote text"/>
    <w:basedOn w:val="Normal"/>
    <w:link w:val="FodnotetekstTegn"/>
    <w:uiPriority w:val="99"/>
    <w:semiHidden/>
    <w:unhideWhenUsed/>
    <w:rsid w:val="0091301A"/>
    <w:pPr>
      <w:spacing w:line="240" w:lineRule="auto"/>
    </w:pPr>
    <w:rPr>
      <w:sz w:val="20"/>
      <w:szCs w:val="20"/>
    </w:rPr>
  </w:style>
  <w:style w:type="character" w:customStyle="1" w:styleId="FodnotetekstTegn">
    <w:name w:val="Fodnotetekst Tegn"/>
    <w:basedOn w:val="Standardskrifttypeiafsnit"/>
    <w:link w:val="Fodnotetekst"/>
    <w:uiPriority w:val="99"/>
    <w:semiHidden/>
    <w:rsid w:val="0091301A"/>
    <w:rPr>
      <w:rFonts w:ascii="Times New Roman" w:hAnsi="Times New Roman"/>
      <w:sz w:val="20"/>
      <w:szCs w:val="20"/>
    </w:rPr>
  </w:style>
  <w:style w:type="character" w:styleId="Fodnotehenvisning">
    <w:name w:val="footnote reference"/>
    <w:basedOn w:val="Standardskrifttypeiafsnit"/>
    <w:semiHidden/>
    <w:unhideWhenUsed/>
    <w:rsid w:val="0091301A"/>
    <w:rPr>
      <w:vertAlign w:val="superscript"/>
    </w:rPr>
  </w:style>
  <w:style w:type="character" w:styleId="BesgtLink">
    <w:name w:val="FollowedHyperlink"/>
    <w:basedOn w:val="Standardskrifttypeiafsnit"/>
    <w:uiPriority w:val="99"/>
    <w:semiHidden/>
    <w:unhideWhenUsed/>
    <w:rsid w:val="00D84E90"/>
    <w:rPr>
      <w:color w:val="800080" w:themeColor="followedHyperlink"/>
      <w:u w:val="single"/>
    </w:rPr>
  </w:style>
  <w:style w:type="paragraph" w:styleId="NormalWeb">
    <w:name w:val="Normal (Web)"/>
    <w:basedOn w:val="Normal"/>
    <w:uiPriority w:val="99"/>
    <w:unhideWhenUsed/>
    <w:rsid w:val="00EC582D"/>
    <w:pPr>
      <w:spacing w:line="240" w:lineRule="auto"/>
      <w:jc w:val="left"/>
    </w:pPr>
    <w:rPr>
      <w:rFonts w:cs="Times New Roman"/>
      <w:szCs w:val="24"/>
      <w:lang w:eastAsia="da-DK"/>
    </w:rPr>
  </w:style>
  <w:style w:type="paragraph" w:styleId="Korrektur">
    <w:name w:val="Revision"/>
    <w:hidden/>
    <w:uiPriority w:val="99"/>
    <w:semiHidden/>
    <w:rsid w:val="00DC636B"/>
    <w:pPr>
      <w:spacing w:after="0" w:line="240" w:lineRule="auto"/>
    </w:pPr>
    <w:rPr>
      <w:rFonts w:ascii="Times New Roman" w:hAnsi="Times New Roman"/>
      <w:sz w:val="24"/>
    </w:rPr>
  </w:style>
  <w:style w:type="paragraph" w:styleId="Opstilling-talellerbogst">
    <w:name w:val="List Number"/>
    <w:basedOn w:val="Normal"/>
    <w:uiPriority w:val="99"/>
    <w:semiHidden/>
    <w:unhideWhenUsed/>
    <w:rsid w:val="00063F85"/>
    <w:pPr>
      <w:numPr>
        <w:numId w:val="13"/>
      </w:numPr>
      <w:contextualSpacing/>
    </w:pPr>
  </w:style>
  <w:style w:type="table" w:styleId="Tabel-Gitter">
    <w:name w:val="Table Grid"/>
    <w:basedOn w:val="Tabel-Normal"/>
    <w:uiPriority w:val="59"/>
    <w:rsid w:val="002C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semiHidden/>
    <w:unhideWhenUsed/>
    <w:rsid w:val="001D6E89"/>
    <w:pPr>
      <w:numPr>
        <w:numId w:val="18"/>
      </w:numPr>
      <w:contextualSpacing/>
    </w:pPr>
  </w:style>
  <w:style w:type="table" w:customStyle="1" w:styleId="TableGrid1">
    <w:name w:val="Table Grid1"/>
    <w:basedOn w:val="Tabel-Normal"/>
    <w:next w:val="Tabel-Gitter"/>
    <w:uiPriority w:val="59"/>
    <w:rsid w:val="00F8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rsid w:val="00E6616B"/>
    <w:pPr>
      <w:spacing w:before="100" w:beforeAutospacing="1" w:after="100" w:afterAutospacing="1" w:line="240" w:lineRule="auto"/>
      <w:jc w:val="left"/>
    </w:pPr>
    <w:rPr>
      <w:rFonts w:eastAsia="Times New Roman" w:cs="Times New Roman"/>
      <w:szCs w:val="24"/>
      <w:lang w:eastAsia="da-DK"/>
    </w:rPr>
  </w:style>
  <w:style w:type="character" w:customStyle="1" w:styleId="paragrafnr">
    <w:name w:val="paragrafnr"/>
    <w:basedOn w:val="Standardskrifttypeiafsnit"/>
    <w:rsid w:val="00E6616B"/>
  </w:style>
  <w:style w:type="paragraph" w:customStyle="1" w:styleId="stk2">
    <w:name w:val="stk2"/>
    <w:basedOn w:val="Normal"/>
    <w:rsid w:val="00E6616B"/>
    <w:pPr>
      <w:spacing w:before="100" w:beforeAutospacing="1" w:after="100" w:afterAutospacing="1" w:line="240" w:lineRule="auto"/>
      <w:jc w:val="left"/>
    </w:pPr>
    <w:rPr>
      <w:rFonts w:eastAsia="Times New Roman" w:cs="Times New Roman"/>
      <w:szCs w:val="24"/>
      <w:lang w:eastAsia="da-DK"/>
    </w:rPr>
  </w:style>
  <w:style w:type="character" w:customStyle="1" w:styleId="stknr">
    <w:name w:val="stknr"/>
    <w:basedOn w:val="Standardskrifttypeiafsnit"/>
    <w:rsid w:val="00E66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858">
      <w:bodyDiv w:val="1"/>
      <w:marLeft w:val="0"/>
      <w:marRight w:val="0"/>
      <w:marTop w:val="0"/>
      <w:marBottom w:val="0"/>
      <w:divBdr>
        <w:top w:val="none" w:sz="0" w:space="0" w:color="auto"/>
        <w:left w:val="none" w:sz="0" w:space="0" w:color="auto"/>
        <w:bottom w:val="none" w:sz="0" w:space="0" w:color="auto"/>
        <w:right w:val="none" w:sz="0" w:space="0" w:color="auto"/>
      </w:divBdr>
      <w:divsChild>
        <w:div w:id="848565395">
          <w:marLeft w:val="-225"/>
          <w:marRight w:val="-225"/>
          <w:marTop w:val="0"/>
          <w:marBottom w:val="0"/>
          <w:divBdr>
            <w:top w:val="none" w:sz="0" w:space="0" w:color="auto"/>
            <w:left w:val="none" w:sz="0" w:space="0" w:color="auto"/>
            <w:bottom w:val="none" w:sz="0" w:space="0" w:color="auto"/>
            <w:right w:val="none" w:sz="0" w:space="0" w:color="auto"/>
          </w:divBdr>
          <w:divsChild>
            <w:div w:id="1767312953">
              <w:marLeft w:val="0"/>
              <w:marRight w:val="0"/>
              <w:marTop w:val="0"/>
              <w:marBottom w:val="0"/>
              <w:divBdr>
                <w:top w:val="none" w:sz="0" w:space="0" w:color="auto"/>
                <w:left w:val="none" w:sz="0" w:space="0" w:color="auto"/>
                <w:bottom w:val="none" w:sz="0" w:space="0" w:color="auto"/>
                <w:right w:val="none" w:sz="0" w:space="0" w:color="auto"/>
              </w:divBdr>
              <w:divsChild>
                <w:div w:id="4727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5915">
          <w:marLeft w:val="0"/>
          <w:marRight w:val="0"/>
          <w:marTop w:val="0"/>
          <w:marBottom w:val="0"/>
          <w:divBdr>
            <w:top w:val="none" w:sz="0" w:space="0" w:color="auto"/>
            <w:left w:val="none" w:sz="0" w:space="0" w:color="auto"/>
            <w:bottom w:val="none" w:sz="0" w:space="0" w:color="auto"/>
            <w:right w:val="none" w:sz="0" w:space="0" w:color="auto"/>
          </w:divBdr>
        </w:div>
      </w:divsChild>
    </w:div>
    <w:div w:id="27418709">
      <w:bodyDiv w:val="1"/>
      <w:marLeft w:val="0"/>
      <w:marRight w:val="0"/>
      <w:marTop w:val="0"/>
      <w:marBottom w:val="0"/>
      <w:divBdr>
        <w:top w:val="none" w:sz="0" w:space="0" w:color="auto"/>
        <w:left w:val="none" w:sz="0" w:space="0" w:color="auto"/>
        <w:bottom w:val="none" w:sz="0" w:space="0" w:color="auto"/>
        <w:right w:val="none" w:sz="0" w:space="0" w:color="auto"/>
      </w:divBdr>
    </w:div>
    <w:div w:id="225603596">
      <w:bodyDiv w:val="1"/>
      <w:marLeft w:val="0"/>
      <w:marRight w:val="0"/>
      <w:marTop w:val="0"/>
      <w:marBottom w:val="0"/>
      <w:divBdr>
        <w:top w:val="none" w:sz="0" w:space="0" w:color="auto"/>
        <w:left w:val="none" w:sz="0" w:space="0" w:color="auto"/>
        <w:bottom w:val="none" w:sz="0" w:space="0" w:color="auto"/>
        <w:right w:val="none" w:sz="0" w:space="0" w:color="auto"/>
      </w:divBdr>
    </w:div>
    <w:div w:id="226645415">
      <w:bodyDiv w:val="1"/>
      <w:marLeft w:val="0"/>
      <w:marRight w:val="0"/>
      <w:marTop w:val="0"/>
      <w:marBottom w:val="0"/>
      <w:divBdr>
        <w:top w:val="none" w:sz="0" w:space="0" w:color="auto"/>
        <w:left w:val="none" w:sz="0" w:space="0" w:color="auto"/>
        <w:bottom w:val="none" w:sz="0" w:space="0" w:color="auto"/>
        <w:right w:val="none" w:sz="0" w:space="0" w:color="auto"/>
      </w:divBdr>
    </w:div>
    <w:div w:id="254824810">
      <w:bodyDiv w:val="1"/>
      <w:marLeft w:val="0"/>
      <w:marRight w:val="0"/>
      <w:marTop w:val="0"/>
      <w:marBottom w:val="0"/>
      <w:divBdr>
        <w:top w:val="none" w:sz="0" w:space="0" w:color="auto"/>
        <w:left w:val="none" w:sz="0" w:space="0" w:color="auto"/>
        <w:bottom w:val="none" w:sz="0" w:space="0" w:color="auto"/>
        <w:right w:val="none" w:sz="0" w:space="0" w:color="auto"/>
      </w:divBdr>
    </w:div>
    <w:div w:id="324166558">
      <w:bodyDiv w:val="1"/>
      <w:marLeft w:val="0"/>
      <w:marRight w:val="0"/>
      <w:marTop w:val="0"/>
      <w:marBottom w:val="0"/>
      <w:divBdr>
        <w:top w:val="none" w:sz="0" w:space="0" w:color="auto"/>
        <w:left w:val="none" w:sz="0" w:space="0" w:color="auto"/>
        <w:bottom w:val="none" w:sz="0" w:space="0" w:color="auto"/>
        <w:right w:val="none" w:sz="0" w:space="0" w:color="auto"/>
      </w:divBdr>
    </w:div>
    <w:div w:id="353194037">
      <w:bodyDiv w:val="1"/>
      <w:marLeft w:val="0"/>
      <w:marRight w:val="0"/>
      <w:marTop w:val="0"/>
      <w:marBottom w:val="0"/>
      <w:divBdr>
        <w:top w:val="none" w:sz="0" w:space="0" w:color="auto"/>
        <w:left w:val="none" w:sz="0" w:space="0" w:color="auto"/>
        <w:bottom w:val="none" w:sz="0" w:space="0" w:color="auto"/>
        <w:right w:val="none" w:sz="0" w:space="0" w:color="auto"/>
      </w:divBdr>
    </w:div>
    <w:div w:id="388117307">
      <w:bodyDiv w:val="1"/>
      <w:marLeft w:val="0"/>
      <w:marRight w:val="0"/>
      <w:marTop w:val="0"/>
      <w:marBottom w:val="0"/>
      <w:divBdr>
        <w:top w:val="none" w:sz="0" w:space="0" w:color="auto"/>
        <w:left w:val="none" w:sz="0" w:space="0" w:color="auto"/>
        <w:bottom w:val="none" w:sz="0" w:space="0" w:color="auto"/>
        <w:right w:val="none" w:sz="0" w:space="0" w:color="auto"/>
      </w:divBdr>
    </w:div>
    <w:div w:id="606889625">
      <w:bodyDiv w:val="1"/>
      <w:marLeft w:val="0"/>
      <w:marRight w:val="0"/>
      <w:marTop w:val="0"/>
      <w:marBottom w:val="0"/>
      <w:divBdr>
        <w:top w:val="none" w:sz="0" w:space="0" w:color="auto"/>
        <w:left w:val="none" w:sz="0" w:space="0" w:color="auto"/>
        <w:bottom w:val="none" w:sz="0" w:space="0" w:color="auto"/>
        <w:right w:val="none" w:sz="0" w:space="0" w:color="auto"/>
      </w:divBdr>
    </w:div>
    <w:div w:id="632563368">
      <w:bodyDiv w:val="1"/>
      <w:marLeft w:val="0"/>
      <w:marRight w:val="0"/>
      <w:marTop w:val="0"/>
      <w:marBottom w:val="0"/>
      <w:divBdr>
        <w:top w:val="none" w:sz="0" w:space="0" w:color="auto"/>
        <w:left w:val="none" w:sz="0" w:space="0" w:color="auto"/>
        <w:bottom w:val="none" w:sz="0" w:space="0" w:color="auto"/>
        <w:right w:val="none" w:sz="0" w:space="0" w:color="auto"/>
      </w:divBdr>
    </w:div>
    <w:div w:id="679040881">
      <w:bodyDiv w:val="1"/>
      <w:marLeft w:val="0"/>
      <w:marRight w:val="0"/>
      <w:marTop w:val="0"/>
      <w:marBottom w:val="0"/>
      <w:divBdr>
        <w:top w:val="none" w:sz="0" w:space="0" w:color="auto"/>
        <w:left w:val="none" w:sz="0" w:space="0" w:color="auto"/>
        <w:bottom w:val="none" w:sz="0" w:space="0" w:color="auto"/>
        <w:right w:val="none" w:sz="0" w:space="0" w:color="auto"/>
      </w:divBdr>
    </w:div>
    <w:div w:id="693922577">
      <w:bodyDiv w:val="1"/>
      <w:marLeft w:val="0"/>
      <w:marRight w:val="0"/>
      <w:marTop w:val="0"/>
      <w:marBottom w:val="0"/>
      <w:divBdr>
        <w:top w:val="none" w:sz="0" w:space="0" w:color="auto"/>
        <w:left w:val="none" w:sz="0" w:space="0" w:color="auto"/>
        <w:bottom w:val="none" w:sz="0" w:space="0" w:color="auto"/>
        <w:right w:val="none" w:sz="0" w:space="0" w:color="auto"/>
      </w:divBdr>
    </w:div>
    <w:div w:id="727340746">
      <w:bodyDiv w:val="1"/>
      <w:marLeft w:val="0"/>
      <w:marRight w:val="0"/>
      <w:marTop w:val="0"/>
      <w:marBottom w:val="0"/>
      <w:divBdr>
        <w:top w:val="none" w:sz="0" w:space="0" w:color="auto"/>
        <w:left w:val="none" w:sz="0" w:space="0" w:color="auto"/>
        <w:bottom w:val="none" w:sz="0" w:space="0" w:color="auto"/>
        <w:right w:val="none" w:sz="0" w:space="0" w:color="auto"/>
      </w:divBdr>
    </w:div>
    <w:div w:id="760566638">
      <w:bodyDiv w:val="1"/>
      <w:marLeft w:val="0"/>
      <w:marRight w:val="0"/>
      <w:marTop w:val="0"/>
      <w:marBottom w:val="0"/>
      <w:divBdr>
        <w:top w:val="none" w:sz="0" w:space="0" w:color="auto"/>
        <w:left w:val="none" w:sz="0" w:space="0" w:color="auto"/>
        <w:bottom w:val="none" w:sz="0" w:space="0" w:color="auto"/>
        <w:right w:val="none" w:sz="0" w:space="0" w:color="auto"/>
      </w:divBdr>
    </w:div>
    <w:div w:id="794525015">
      <w:bodyDiv w:val="1"/>
      <w:marLeft w:val="0"/>
      <w:marRight w:val="0"/>
      <w:marTop w:val="0"/>
      <w:marBottom w:val="0"/>
      <w:divBdr>
        <w:top w:val="none" w:sz="0" w:space="0" w:color="auto"/>
        <w:left w:val="none" w:sz="0" w:space="0" w:color="auto"/>
        <w:bottom w:val="none" w:sz="0" w:space="0" w:color="auto"/>
        <w:right w:val="none" w:sz="0" w:space="0" w:color="auto"/>
      </w:divBdr>
    </w:div>
    <w:div w:id="833952995">
      <w:bodyDiv w:val="1"/>
      <w:marLeft w:val="0"/>
      <w:marRight w:val="0"/>
      <w:marTop w:val="0"/>
      <w:marBottom w:val="0"/>
      <w:divBdr>
        <w:top w:val="none" w:sz="0" w:space="0" w:color="auto"/>
        <w:left w:val="none" w:sz="0" w:space="0" w:color="auto"/>
        <w:bottom w:val="none" w:sz="0" w:space="0" w:color="auto"/>
        <w:right w:val="none" w:sz="0" w:space="0" w:color="auto"/>
      </w:divBdr>
    </w:div>
    <w:div w:id="852888600">
      <w:bodyDiv w:val="1"/>
      <w:marLeft w:val="0"/>
      <w:marRight w:val="0"/>
      <w:marTop w:val="0"/>
      <w:marBottom w:val="0"/>
      <w:divBdr>
        <w:top w:val="none" w:sz="0" w:space="0" w:color="auto"/>
        <w:left w:val="none" w:sz="0" w:space="0" w:color="auto"/>
        <w:bottom w:val="none" w:sz="0" w:space="0" w:color="auto"/>
        <w:right w:val="none" w:sz="0" w:space="0" w:color="auto"/>
      </w:divBdr>
    </w:div>
    <w:div w:id="900871111">
      <w:bodyDiv w:val="1"/>
      <w:marLeft w:val="0"/>
      <w:marRight w:val="0"/>
      <w:marTop w:val="0"/>
      <w:marBottom w:val="0"/>
      <w:divBdr>
        <w:top w:val="none" w:sz="0" w:space="0" w:color="auto"/>
        <w:left w:val="none" w:sz="0" w:space="0" w:color="auto"/>
        <w:bottom w:val="none" w:sz="0" w:space="0" w:color="auto"/>
        <w:right w:val="none" w:sz="0" w:space="0" w:color="auto"/>
      </w:divBdr>
    </w:div>
    <w:div w:id="939071689">
      <w:bodyDiv w:val="1"/>
      <w:marLeft w:val="0"/>
      <w:marRight w:val="0"/>
      <w:marTop w:val="0"/>
      <w:marBottom w:val="0"/>
      <w:divBdr>
        <w:top w:val="none" w:sz="0" w:space="0" w:color="auto"/>
        <w:left w:val="none" w:sz="0" w:space="0" w:color="auto"/>
        <w:bottom w:val="none" w:sz="0" w:space="0" w:color="auto"/>
        <w:right w:val="none" w:sz="0" w:space="0" w:color="auto"/>
      </w:divBdr>
    </w:div>
    <w:div w:id="1021736095">
      <w:bodyDiv w:val="1"/>
      <w:marLeft w:val="0"/>
      <w:marRight w:val="0"/>
      <w:marTop w:val="0"/>
      <w:marBottom w:val="0"/>
      <w:divBdr>
        <w:top w:val="none" w:sz="0" w:space="0" w:color="auto"/>
        <w:left w:val="none" w:sz="0" w:space="0" w:color="auto"/>
        <w:bottom w:val="none" w:sz="0" w:space="0" w:color="auto"/>
        <w:right w:val="none" w:sz="0" w:space="0" w:color="auto"/>
      </w:divBdr>
    </w:div>
    <w:div w:id="1044404477">
      <w:bodyDiv w:val="1"/>
      <w:marLeft w:val="0"/>
      <w:marRight w:val="0"/>
      <w:marTop w:val="0"/>
      <w:marBottom w:val="0"/>
      <w:divBdr>
        <w:top w:val="none" w:sz="0" w:space="0" w:color="auto"/>
        <w:left w:val="none" w:sz="0" w:space="0" w:color="auto"/>
        <w:bottom w:val="none" w:sz="0" w:space="0" w:color="auto"/>
        <w:right w:val="none" w:sz="0" w:space="0" w:color="auto"/>
      </w:divBdr>
    </w:div>
    <w:div w:id="1063868744">
      <w:bodyDiv w:val="1"/>
      <w:marLeft w:val="0"/>
      <w:marRight w:val="0"/>
      <w:marTop w:val="0"/>
      <w:marBottom w:val="0"/>
      <w:divBdr>
        <w:top w:val="none" w:sz="0" w:space="0" w:color="auto"/>
        <w:left w:val="none" w:sz="0" w:space="0" w:color="auto"/>
        <w:bottom w:val="none" w:sz="0" w:space="0" w:color="auto"/>
        <w:right w:val="none" w:sz="0" w:space="0" w:color="auto"/>
      </w:divBdr>
    </w:div>
    <w:div w:id="1067724226">
      <w:bodyDiv w:val="1"/>
      <w:marLeft w:val="0"/>
      <w:marRight w:val="0"/>
      <w:marTop w:val="0"/>
      <w:marBottom w:val="0"/>
      <w:divBdr>
        <w:top w:val="none" w:sz="0" w:space="0" w:color="auto"/>
        <w:left w:val="none" w:sz="0" w:space="0" w:color="auto"/>
        <w:bottom w:val="none" w:sz="0" w:space="0" w:color="auto"/>
        <w:right w:val="none" w:sz="0" w:space="0" w:color="auto"/>
      </w:divBdr>
    </w:div>
    <w:div w:id="1100561018">
      <w:bodyDiv w:val="1"/>
      <w:marLeft w:val="0"/>
      <w:marRight w:val="0"/>
      <w:marTop w:val="0"/>
      <w:marBottom w:val="0"/>
      <w:divBdr>
        <w:top w:val="none" w:sz="0" w:space="0" w:color="auto"/>
        <w:left w:val="none" w:sz="0" w:space="0" w:color="auto"/>
        <w:bottom w:val="none" w:sz="0" w:space="0" w:color="auto"/>
        <w:right w:val="none" w:sz="0" w:space="0" w:color="auto"/>
      </w:divBdr>
    </w:div>
    <w:div w:id="1312907731">
      <w:bodyDiv w:val="1"/>
      <w:marLeft w:val="0"/>
      <w:marRight w:val="0"/>
      <w:marTop w:val="0"/>
      <w:marBottom w:val="0"/>
      <w:divBdr>
        <w:top w:val="none" w:sz="0" w:space="0" w:color="auto"/>
        <w:left w:val="none" w:sz="0" w:space="0" w:color="auto"/>
        <w:bottom w:val="none" w:sz="0" w:space="0" w:color="auto"/>
        <w:right w:val="none" w:sz="0" w:space="0" w:color="auto"/>
      </w:divBdr>
    </w:div>
    <w:div w:id="1373531254">
      <w:bodyDiv w:val="1"/>
      <w:marLeft w:val="0"/>
      <w:marRight w:val="0"/>
      <w:marTop w:val="0"/>
      <w:marBottom w:val="0"/>
      <w:divBdr>
        <w:top w:val="none" w:sz="0" w:space="0" w:color="auto"/>
        <w:left w:val="none" w:sz="0" w:space="0" w:color="auto"/>
        <w:bottom w:val="none" w:sz="0" w:space="0" w:color="auto"/>
        <w:right w:val="none" w:sz="0" w:space="0" w:color="auto"/>
      </w:divBdr>
    </w:div>
    <w:div w:id="1379234037">
      <w:bodyDiv w:val="1"/>
      <w:marLeft w:val="0"/>
      <w:marRight w:val="0"/>
      <w:marTop w:val="0"/>
      <w:marBottom w:val="0"/>
      <w:divBdr>
        <w:top w:val="none" w:sz="0" w:space="0" w:color="auto"/>
        <w:left w:val="none" w:sz="0" w:space="0" w:color="auto"/>
        <w:bottom w:val="none" w:sz="0" w:space="0" w:color="auto"/>
        <w:right w:val="none" w:sz="0" w:space="0" w:color="auto"/>
      </w:divBdr>
    </w:div>
    <w:div w:id="1420247972">
      <w:bodyDiv w:val="1"/>
      <w:marLeft w:val="0"/>
      <w:marRight w:val="0"/>
      <w:marTop w:val="0"/>
      <w:marBottom w:val="0"/>
      <w:divBdr>
        <w:top w:val="none" w:sz="0" w:space="0" w:color="auto"/>
        <w:left w:val="none" w:sz="0" w:space="0" w:color="auto"/>
        <w:bottom w:val="none" w:sz="0" w:space="0" w:color="auto"/>
        <w:right w:val="none" w:sz="0" w:space="0" w:color="auto"/>
      </w:divBdr>
    </w:div>
    <w:div w:id="1437941300">
      <w:bodyDiv w:val="1"/>
      <w:marLeft w:val="0"/>
      <w:marRight w:val="0"/>
      <w:marTop w:val="0"/>
      <w:marBottom w:val="0"/>
      <w:divBdr>
        <w:top w:val="none" w:sz="0" w:space="0" w:color="auto"/>
        <w:left w:val="none" w:sz="0" w:space="0" w:color="auto"/>
        <w:bottom w:val="none" w:sz="0" w:space="0" w:color="auto"/>
        <w:right w:val="none" w:sz="0" w:space="0" w:color="auto"/>
      </w:divBdr>
    </w:div>
    <w:div w:id="1451315713">
      <w:bodyDiv w:val="1"/>
      <w:marLeft w:val="0"/>
      <w:marRight w:val="0"/>
      <w:marTop w:val="0"/>
      <w:marBottom w:val="0"/>
      <w:divBdr>
        <w:top w:val="none" w:sz="0" w:space="0" w:color="auto"/>
        <w:left w:val="none" w:sz="0" w:space="0" w:color="auto"/>
        <w:bottom w:val="none" w:sz="0" w:space="0" w:color="auto"/>
        <w:right w:val="none" w:sz="0" w:space="0" w:color="auto"/>
      </w:divBdr>
    </w:div>
    <w:div w:id="1470439829">
      <w:bodyDiv w:val="1"/>
      <w:marLeft w:val="0"/>
      <w:marRight w:val="0"/>
      <w:marTop w:val="0"/>
      <w:marBottom w:val="0"/>
      <w:divBdr>
        <w:top w:val="none" w:sz="0" w:space="0" w:color="auto"/>
        <w:left w:val="none" w:sz="0" w:space="0" w:color="auto"/>
        <w:bottom w:val="none" w:sz="0" w:space="0" w:color="auto"/>
        <w:right w:val="none" w:sz="0" w:space="0" w:color="auto"/>
      </w:divBdr>
    </w:div>
    <w:div w:id="1482771238">
      <w:bodyDiv w:val="1"/>
      <w:marLeft w:val="0"/>
      <w:marRight w:val="0"/>
      <w:marTop w:val="0"/>
      <w:marBottom w:val="0"/>
      <w:divBdr>
        <w:top w:val="none" w:sz="0" w:space="0" w:color="auto"/>
        <w:left w:val="none" w:sz="0" w:space="0" w:color="auto"/>
        <w:bottom w:val="none" w:sz="0" w:space="0" w:color="auto"/>
        <w:right w:val="none" w:sz="0" w:space="0" w:color="auto"/>
      </w:divBdr>
    </w:div>
    <w:div w:id="1602954568">
      <w:bodyDiv w:val="1"/>
      <w:marLeft w:val="0"/>
      <w:marRight w:val="0"/>
      <w:marTop w:val="0"/>
      <w:marBottom w:val="0"/>
      <w:divBdr>
        <w:top w:val="none" w:sz="0" w:space="0" w:color="auto"/>
        <w:left w:val="none" w:sz="0" w:space="0" w:color="auto"/>
        <w:bottom w:val="none" w:sz="0" w:space="0" w:color="auto"/>
        <w:right w:val="none" w:sz="0" w:space="0" w:color="auto"/>
      </w:divBdr>
    </w:div>
    <w:div w:id="1789083105">
      <w:bodyDiv w:val="1"/>
      <w:marLeft w:val="0"/>
      <w:marRight w:val="0"/>
      <w:marTop w:val="0"/>
      <w:marBottom w:val="0"/>
      <w:divBdr>
        <w:top w:val="none" w:sz="0" w:space="0" w:color="auto"/>
        <w:left w:val="none" w:sz="0" w:space="0" w:color="auto"/>
        <w:bottom w:val="none" w:sz="0" w:space="0" w:color="auto"/>
        <w:right w:val="none" w:sz="0" w:space="0" w:color="auto"/>
      </w:divBdr>
    </w:div>
    <w:div w:id="1829054474">
      <w:bodyDiv w:val="1"/>
      <w:marLeft w:val="0"/>
      <w:marRight w:val="0"/>
      <w:marTop w:val="0"/>
      <w:marBottom w:val="0"/>
      <w:divBdr>
        <w:top w:val="none" w:sz="0" w:space="0" w:color="auto"/>
        <w:left w:val="none" w:sz="0" w:space="0" w:color="auto"/>
        <w:bottom w:val="none" w:sz="0" w:space="0" w:color="auto"/>
        <w:right w:val="none" w:sz="0" w:space="0" w:color="auto"/>
      </w:divBdr>
    </w:div>
    <w:div w:id="1889605158">
      <w:bodyDiv w:val="1"/>
      <w:marLeft w:val="0"/>
      <w:marRight w:val="0"/>
      <w:marTop w:val="0"/>
      <w:marBottom w:val="0"/>
      <w:divBdr>
        <w:top w:val="none" w:sz="0" w:space="0" w:color="auto"/>
        <w:left w:val="none" w:sz="0" w:space="0" w:color="auto"/>
        <w:bottom w:val="none" w:sz="0" w:space="0" w:color="auto"/>
        <w:right w:val="none" w:sz="0" w:space="0" w:color="auto"/>
      </w:divBdr>
    </w:div>
    <w:div w:id="1964580418">
      <w:bodyDiv w:val="1"/>
      <w:marLeft w:val="0"/>
      <w:marRight w:val="0"/>
      <w:marTop w:val="0"/>
      <w:marBottom w:val="0"/>
      <w:divBdr>
        <w:top w:val="none" w:sz="0" w:space="0" w:color="auto"/>
        <w:left w:val="none" w:sz="0" w:space="0" w:color="auto"/>
        <w:bottom w:val="none" w:sz="0" w:space="0" w:color="auto"/>
        <w:right w:val="none" w:sz="0" w:space="0" w:color="auto"/>
      </w:divBdr>
    </w:div>
    <w:div w:id="1976790988">
      <w:bodyDiv w:val="1"/>
      <w:marLeft w:val="0"/>
      <w:marRight w:val="0"/>
      <w:marTop w:val="0"/>
      <w:marBottom w:val="0"/>
      <w:divBdr>
        <w:top w:val="none" w:sz="0" w:space="0" w:color="auto"/>
        <w:left w:val="none" w:sz="0" w:space="0" w:color="auto"/>
        <w:bottom w:val="none" w:sz="0" w:space="0" w:color="auto"/>
        <w:right w:val="none" w:sz="0" w:space="0" w:color="auto"/>
      </w:divBdr>
    </w:div>
    <w:div w:id="2035155846">
      <w:bodyDiv w:val="1"/>
      <w:marLeft w:val="0"/>
      <w:marRight w:val="0"/>
      <w:marTop w:val="0"/>
      <w:marBottom w:val="0"/>
      <w:divBdr>
        <w:top w:val="none" w:sz="0" w:space="0" w:color="auto"/>
        <w:left w:val="none" w:sz="0" w:space="0" w:color="auto"/>
        <w:bottom w:val="none" w:sz="0" w:space="0" w:color="auto"/>
        <w:right w:val="none" w:sz="0" w:space="0" w:color="auto"/>
      </w:divBdr>
    </w:div>
    <w:div w:id="21447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24210\AppData\Local\cBrain\F2\.tmp\42ba79079c814fbf9ce65b08543d02f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894AB-48AE-4B2E-8229-C22099EB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42ba79079c814fbf9ce65b08543d02fe</Template>
  <TotalTime>1</TotalTime>
  <Pages>85</Pages>
  <Words>24020</Words>
  <Characters>146527</Characters>
  <Application>Microsoft Office Word</Application>
  <DocSecurity>4</DocSecurity>
  <Lines>1221</Lines>
  <Paragraphs>340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Louv</dc:creator>
  <cp:keywords/>
  <cp:lastModifiedBy>Anders Gade Jeppesen</cp:lastModifiedBy>
  <cp:revision>2</cp:revision>
  <dcterms:created xsi:type="dcterms:W3CDTF">2022-07-01T12:08:00Z</dcterms:created>
  <dcterms:modified xsi:type="dcterms:W3CDTF">2022-07-01T12:08:00Z</dcterms:modified>
</cp:coreProperties>
</file>