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5" w:type="dxa"/>
        <w:tblLayout w:type="fixed"/>
        <w:tblCellMar>
          <w:left w:w="70" w:type="dxa"/>
          <w:right w:w="70" w:type="dxa"/>
        </w:tblCellMar>
        <w:tblLook w:val="0000" w:firstRow="0" w:lastRow="0" w:firstColumn="0" w:lastColumn="0" w:noHBand="0" w:noVBand="0"/>
      </w:tblPr>
      <w:tblGrid>
        <w:gridCol w:w="9775"/>
      </w:tblGrid>
      <w:tr w:rsidR="00E40A9C" w:rsidRPr="003D2A18" w14:paraId="64687D8E" w14:textId="77777777" w:rsidTr="00980001">
        <w:trPr>
          <w:cantSplit/>
        </w:trPr>
        <w:tc>
          <w:tcPr>
            <w:tcW w:w="9775" w:type="dxa"/>
            <w:shd w:val="clear" w:color="auto" w:fill="BFBFBF" w:themeFill="background1" w:themeFillShade="BF"/>
          </w:tcPr>
          <w:p w14:paraId="78B21F52" w14:textId="08F0D9C8" w:rsidR="00E40A9C" w:rsidRPr="003D2A18" w:rsidRDefault="006D4E40" w:rsidP="00816C22">
            <w:pPr>
              <w:pStyle w:val="Overskrift1"/>
              <w:spacing w:before="100" w:after="100"/>
              <w:rPr>
                <w:rFonts w:cs="Arial"/>
                <w:sz w:val="48"/>
              </w:rPr>
            </w:pPr>
            <w:bookmarkStart w:id="0" w:name="_GoBack"/>
            <w:bookmarkEnd w:id="0"/>
            <w:r w:rsidRPr="003D2A18">
              <w:rPr>
                <w:rFonts w:cs="Arial"/>
                <w:sz w:val="48"/>
              </w:rPr>
              <w:t>God digital adfærd</w:t>
            </w:r>
          </w:p>
        </w:tc>
      </w:tr>
      <w:tr w:rsidR="007E180A" w:rsidRPr="003D2A18" w14:paraId="09ADC753" w14:textId="77777777" w:rsidTr="00980001">
        <w:trPr>
          <w:cantSplit/>
          <w:trHeight w:val="196"/>
        </w:trPr>
        <w:tc>
          <w:tcPr>
            <w:tcW w:w="9775" w:type="dxa"/>
            <w:shd w:val="clear" w:color="auto" w:fill="FFFFFF" w:themeFill="background1"/>
          </w:tcPr>
          <w:p w14:paraId="4569DF71" w14:textId="77777777" w:rsidR="007E180A" w:rsidRPr="003D2A18" w:rsidRDefault="007E180A" w:rsidP="007E180A">
            <w:pPr>
              <w:pStyle w:val="Overskrift1"/>
              <w:spacing w:before="100" w:after="100"/>
              <w:rPr>
                <w:rFonts w:cs="Arial"/>
                <w:sz w:val="4"/>
                <w:szCs w:val="4"/>
              </w:rPr>
            </w:pPr>
          </w:p>
        </w:tc>
      </w:tr>
      <w:tr w:rsidR="00E40A9C" w:rsidRPr="003D2A18" w14:paraId="46DE70B3" w14:textId="77777777" w:rsidTr="00980001">
        <w:trPr>
          <w:cantSplit/>
        </w:trPr>
        <w:tc>
          <w:tcPr>
            <w:tcW w:w="9775" w:type="dxa"/>
            <w:shd w:val="clear" w:color="auto" w:fill="BFBFBF" w:themeFill="background1" w:themeFillShade="BF"/>
          </w:tcPr>
          <w:p w14:paraId="17A598AA" w14:textId="7FA43084" w:rsidR="00E40A9C" w:rsidRPr="00F40631" w:rsidRDefault="006D4E40" w:rsidP="00F40631">
            <w:pPr>
              <w:pStyle w:val="Overskrift1"/>
            </w:pPr>
            <w:r w:rsidRPr="00F40631">
              <w:t xml:space="preserve">Leveregler for </w:t>
            </w:r>
            <w:r w:rsidR="00F40631" w:rsidRPr="00F40631">
              <w:fldChar w:fldCharType="begin">
                <w:ffData>
                  <w:name w:val="Virksomhed"/>
                  <w:enabled/>
                  <w:calcOnExit/>
                  <w:textInput>
                    <w:default w:val="Virksomhed"/>
                  </w:textInput>
                </w:ffData>
              </w:fldChar>
            </w:r>
            <w:bookmarkStart w:id="1" w:name="Virksomhed"/>
            <w:r w:rsidR="00F40631" w:rsidRPr="00F40631">
              <w:instrText xml:space="preserve"> FORMTEXT </w:instrText>
            </w:r>
            <w:r w:rsidR="00F40631" w:rsidRPr="00F40631">
              <w:fldChar w:fldCharType="separate"/>
            </w:r>
            <w:r w:rsidR="00A66793">
              <w:rPr>
                <w:noProof/>
              </w:rPr>
              <w:t>Virksomhed</w:t>
            </w:r>
            <w:r w:rsidR="00F40631" w:rsidRPr="00F40631">
              <w:fldChar w:fldCharType="end"/>
            </w:r>
            <w:bookmarkEnd w:id="1"/>
          </w:p>
        </w:tc>
      </w:tr>
      <w:tr w:rsidR="00E40A9C" w:rsidRPr="003D2A18" w14:paraId="5240D023" w14:textId="77777777" w:rsidTr="00980001">
        <w:trPr>
          <w:cantSplit/>
        </w:trPr>
        <w:tc>
          <w:tcPr>
            <w:tcW w:w="9775" w:type="dxa"/>
          </w:tcPr>
          <w:p w14:paraId="5D010850" w14:textId="77777777" w:rsidR="00980001" w:rsidRPr="003D2A18" w:rsidRDefault="00980001" w:rsidP="00980001">
            <w:pPr>
              <w:pStyle w:val="Brdtekst"/>
              <w:spacing w:before="98" w:line="304" w:lineRule="auto"/>
              <w:ind w:left="70"/>
              <w:rPr>
                <w:rFonts w:cs="Arial"/>
                <w:b/>
              </w:rPr>
            </w:pPr>
            <w:r w:rsidRPr="003D2A18">
              <w:rPr>
                <w:rFonts w:cs="Arial"/>
                <w:b/>
              </w:rPr>
              <w:t>Eksempel</w:t>
            </w:r>
          </w:p>
          <w:p w14:paraId="0BA8E019" w14:textId="77777777" w:rsidR="00980001" w:rsidRPr="003D2A18" w:rsidRDefault="00980001" w:rsidP="00980001">
            <w:pPr>
              <w:pStyle w:val="Brdtekst"/>
              <w:spacing w:before="98" w:line="304" w:lineRule="auto"/>
              <w:ind w:left="70"/>
              <w:rPr>
                <w:rFonts w:cs="Arial"/>
              </w:rPr>
            </w:pPr>
            <w:r w:rsidRPr="003D2A18">
              <w:rPr>
                <w:rFonts w:cs="Arial"/>
              </w:rPr>
              <w:t xml:space="preserve">Oplysninger om personer har en værdi som aldrig før, og den digitale udvikling har gjort, at adgang til personoplysninger i stort omfang er så nemt som aldrig før. </w:t>
            </w:r>
          </w:p>
          <w:p w14:paraId="68A9DC4C" w14:textId="77777777" w:rsidR="00980001" w:rsidRPr="003D2A18" w:rsidRDefault="00980001" w:rsidP="00980001">
            <w:pPr>
              <w:pStyle w:val="Brdtekst"/>
              <w:spacing w:before="98" w:line="304" w:lineRule="auto"/>
              <w:ind w:left="70"/>
              <w:rPr>
                <w:rFonts w:cs="Arial"/>
              </w:rPr>
            </w:pPr>
            <w:r w:rsidRPr="003D2A18">
              <w:rPr>
                <w:rFonts w:cs="Arial"/>
              </w:rPr>
              <w:t xml:space="preserve">Det koster eksempelvis helt ned til blot 12 kroner at købe et såkaldt DDoS-angreb på en hjemmeside, eller 1 EUR at købe 2 millioner e-mailadresser. </w:t>
            </w:r>
          </w:p>
          <w:p w14:paraId="577538CF" w14:textId="40AF689E" w:rsidR="00980001" w:rsidRPr="003D2A18" w:rsidRDefault="00980001" w:rsidP="00980001">
            <w:pPr>
              <w:pStyle w:val="Brdtekst"/>
              <w:spacing w:before="98" w:line="304" w:lineRule="auto"/>
              <w:ind w:left="70"/>
              <w:rPr>
                <w:rFonts w:cs="Arial"/>
              </w:rPr>
            </w:pPr>
            <w:r w:rsidRPr="003D2A18">
              <w:rPr>
                <w:rFonts w:cs="Arial"/>
              </w:rPr>
              <w:t xml:space="preserve">Hos </w:t>
            </w:r>
            <w:r w:rsidR="00F40631">
              <w:rPr>
                <w:rFonts w:cs="Arial"/>
              </w:rPr>
              <w:fldChar w:fldCharType="begin"/>
            </w:r>
            <w:r w:rsidR="00F40631">
              <w:rPr>
                <w:rFonts w:cs="Arial"/>
              </w:rPr>
              <w:instrText xml:space="preserve"> REF Virksomhed </w:instrText>
            </w:r>
            <w:r w:rsidR="00F40631">
              <w:rPr>
                <w:rFonts w:cs="Arial"/>
              </w:rPr>
              <w:fldChar w:fldCharType="separate"/>
            </w:r>
            <w:r w:rsidR="00A66793">
              <w:rPr>
                <w:noProof/>
              </w:rPr>
              <w:t>Virksomhed</w:t>
            </w:r>
            <w:r w:rsidR="00F40631">
              <w:rPr>
                <w:rFonts w:cs="Arial"/>
              </w:rPr>
              <w:fldChar w:fldCharType="end"/>
            </w:r>
            <w:r w:rsidR="00F40631">
              <w:rPr>
                <w:rFonts w:cs="Arial"/>
              </w:rPr>
              <w:t xml:space="preserve"> </w:t>
            </w:r>
            <w:r w:rsidRPr="003D2A18">
              <w:rPr>
                <w:rFonts w:cs="Arial"/>
              </w:rPr>
              <w:t>vil vi gøre os umage med at passe på menneskers personlige oplysninger. Derfor er det vigtigt, at vi gør hvad vi kan for at beskytte dem mod at uvedkommende får adgang til dem.</w:t>
            </w:r>
          </w:p>
          <w:p w14:paraId="471137F0" w14:textId="77777777" w:rsidR="00980001" w:rsidRPr="003D2A18" w:rsidRDefault="00980001" w:rsidP="00980001">
            <w:pPr>
              <w:pStyle w:val="Brdtekst"/>
              <w:spacing w:before="98" w:line="304" w:lineRule="auto"/>
              <w:ind w:left="70"/>
              <w:rPr>
                <w:rFonts w:cs="Arial"/>
              </w:rPr>
            </w:pPr>
            <w:r w:rsidRPr="003D2A18">
              <w:rPr>
                <w:rFonts w:cs="Arial"/>
              </w:rPr>
              <w:t xml:space="preserve">Uvedkommende har mange kasketter. Det er professionelle hackere eller it-kriminelle, der via ransomware kan kryptere alle vores data og tage dem som gidsler for en normalt betydelig løsesum. Men uvedkommende er også kollegaer, familie og bekendte, som ikke i deres arbejde eller af anden fornuftig grund skal have adgang til andre menneskers personlige oplysninger. </w:t>
            </w:r>
          </w:p>
          <w:p w14:paraId="7A9BCAC0" w14:textId="77777777" w:rsidR="00980001" w:rsidRPr="003D2A18" w:rsidRDefault="00980001" w:rsidP="00980001">
            <w:pPr>
              <w:pStyle w:val="Brdtekst"/>
              <w:spacing w:before="98" w:line="304" w:lineRule="auto"/>
              <w:ind w:left="70"/>
              <w:rPr>
                <w:rFonts w:cs="Arial"/>
              </w:rPr>
            </w:pPr>
            <w:r w:rsidRPr="003D2A18">
              <w:rPr>
                <w:rFonts w:cs="Arial"/>
              </w:rPr>
              <w:t xml:space="preserve">I vores omgang med personlige oplysninger er det derfor lige så vigtigt, at vi naturligvis beskytter os med udefra kommende indgreb, men at vi også i vores daglige arbejde respekterer privatlivet og ikke deler personoplysninger, som vi får adgang til via vores arbejde. </w:t>
            </w:r>
          </w:p>
          <w:p w14:paraId="45BE1C6A" w14:textId="77777777" w:rsidR="00980001" w:rsidRPr="003D2A18" w:rsidRDefault="00980001" w:rsidP="00980001">
            <w:pPr>
              <w:pStyle w:val="Brdtekst"/>
              <w:spacing w:before="98" w:line="304" w:lineRule="auto"/>
              <w:ind w:left="70"/>
              <w:rPr>
                <w:rFonts w:cs="Arial"/>
              </w:rPr>
            </w:pPr>
            <w:r w:rsidRPr="003D2A18">
              <w:rPr>
                <w:rFonts w:cs="Arial"/>
              </w:rPr>
              <w:t xml:space="preserve">Sikkerhed på arbejdspladsen er alles ansvar, og ikke kun it-afdelingens. En enkelt fejl eller ubetænksomhed hos en medarbejder kan skade hele vores it-system og vores samarbejdspartnere, lejere mv.’s tillid. </w:t>
            </w:r>
          </w:p>
          <w:p w14:paraId="30AC04CC" w14:textId="24D199BF" w:rsidR="006D4E40" w:rsidRPr="003D2A18" w:rsidRDefault="00980001" w:rsidP="00980001">
            <w:pPr>
              <w:pStyle w:val="Brdtekst"/>
              <w:spacing w:before="98" w:line="304" w:lineRule="auto"/>
              <w:ind w:left="70"/>
              <w:rPr>
                <w:rFonts w:cs="Arial"/>
              </w:rPr>
            </w:pPr>
            <w:r w:rsidRPr="003D2A18">
              <w:rPr>
                <w:rFonts w:cs="Arial"/>
              </w:rPr>
              <w:t xml:space="preserve">Denne politik udgør </w:t>
            </w:r>
            <w:r w:rsidR="003D2A18" w:rsidRPr="003D2A18">
              <w:rPr>
                <w:rFonts w:cs="Arial"/>
              </w:rPr>
              <w:fldChar w:fldCharType="begin"/>
            </w:r>
            <w:r w:rsidR="003D2A18" w:rsidRPr="003D2A18">
              <w:rPr>
                <w:rFonts w:cs="Arial"/>
              </w:rPr>
              <w:instrText xml:space="preserve"> REF Virksomhed \h </w:instrText>
            </w:r>
            <w:r w:rsidR="003D2A18">
              <w:rPr>
                <w:rFonts w:cs="Arial"/>
              </w:rPr>
              <w:instrText xml:space="preserve"> \* MERGEFORMAT </w:instrText>
            </w:r>
            <w:r w:rsidR="003D2A18" w:rsidRPr="003D2A18">
              <w:rPr>
                <w:rFonts w:cs="Arial"/>
              </w:rPr>
            </w:r>
            <w:r w:rsidR="003D2A18" w:rsidRPr="003D2A18">
              <w:rPr>
                <w:rFonts w:cs="Arial"/>
              </w:rPr>
              <w:fldChar w:fldCharType="separate"/>
            </w:r>
            <w:r w:rsidR="00A66793" w:rsidRPr="00A66793">
              <w:rPr>
                <w:rFonts w:cs="Arial"/>
                <w:noProof/>
              </w:rPr>
              <w:t>Virksomhed</w:t>
            </w:r>
            <w:r w:rsidR="003D2A18" w:rsidRPr="003D2A18">
              <w:rPr>
                <w:rFonts w:cs="Arial"/>
              </w:rPr>
              <w:fldChar w:fldCharType="end"/>
            </w:r>
            <w:r w:rsidRPr="003D2A18">
              <w:rPr>
                <w:rFonts w:cs="Arial"/>
              </w:rPr>
              <w:t xml:space="preserve">s leveregler for god digital adfærd. </w:t>
            </w:r>
          </w:p>
        </w:tc>
      </w:tr>
    </w:tbl>
    <w:p w14:paraId="1C7B745F" w14:textId="758DC73C" w:rsidR="00980001" w:rsidRPr="003D2A18" w:rsidRDefault="00980001">
      <w:pPr>
        <w:rPr>
          <w:rFonts w:cs="Arial"/>
        </w:rPr>
      </w:pPr>
    </w:p>
    <w:p w14:paraId="5B213764" w14:textId="30D3A00D" w:rsidR="00A66793" w:rsidRDefault="00A66793">
      <w:pPr>
        <w:spacing w:before="0" w:line="240" w:lineRule="auto"/>
        <w:rPr>
          <w:rFonts w:cs="Arial"/>
        </w:rPr>
      </w:pPr>
      <w:r>
        <w:rPr>
          <w:rFonts w:cs="Arial"/>
        </w:rPr>
        <w:br w:type="page"/>
      </w:r>
    </w:p>
    <w:tbl>
      <w:tblPr>
        <w:tblW w:w="0" w:type="auto"/>
        <w:tblInd w:w="-10" w:type="dxa"/>
        <w:tblLayout w:type="fixed"/>
        <w:tblCellMar>
          <w:left w:w="0" w:type="dxa"/>
          <w:right w:w="0" w:type="dxa"/>
        </w:tblCellMar>
        <w:tblLook w:val="0000" w:firstRow="0" w:lastRow="0" w:firstColumn="0" w:lastColumn="0" w:noHBand="0" w:noVBand="0"/>
      </w:tblPr>
      <w:tblGrid>
        <w:gridCol w:w="1134"/>
        <w:gridCol w:w="8563"/>
        <w:gridCol w:w="14"/>
      </w:tblGrid>
      <w:tr w:rsidR="00980001" w:rsidRPr="003D2A18" w14:paraId="097D12D4" w14:textId="77777777" w:rsidTr="00980001">
        <w:trPr>
          <w:trHeight w:val="60"/>
        </w:trPr>
        <w:tc>
          <w:tcPr>
            <w:tcW w:w="9711"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70" w:type="dxa"/>
              <w:left w:w="80" w:type="dxa"/>
              <w:bottom w:w="170" w:type="dxa"/>
              <w:right w:w="80" w:type="dxa"/>
            </w:tcMar>
          </w:tcPr>
          <w:p w14:paraId="2D6EAA03" w14:textId="68E53220" w:rsidR="00980001" w:rsidRPr="003D2A18" w:rsidRDefault="00980001" w:rsidP="00980001">
            <w:pPr>
              <w:pStyle w:val="Overskrift2"/>
              <w:spacing w:before="40" w:after="40"/>
              <w:jc w:val="center"/>
              <w:rPr>
                <w:rFonts w:cs="Arial"/>
                <w:sz w:val="40"/>
                <w:szCs w:val="40"/>
              </w:rPr>
            </w:pPr>
            <w:r w:rsidRPr="003D2A18">
              <w:rPr>
                <w:rFonts w:cs="Arial"/>
                <w:sz w:val="40"/>
                <w:szCs w:val="40"/>
              </w:rPr>
              <w:lastRenderedPageBreak/>
              <w:t>Generelle leveregler</w:t>
            </w:r>
          </w:p>
        </w:tc>
      </w:tr>
      <w:tr w:rsidR="00980001" w:rsidRPr="003D2A18" w14:paraId="29E20F8D" w14:textId="77777777" w:rsidTr="00980001">
        <w:trPr>
          <w:gridAfter w:val="1"/>
          <w:wAfter w:w="14" w:type="dxa"/>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24789EEB" w14:textId="77777777" w:rsidR="00980001" w:rsidRPr="003D2A18" w:rsidRDefault="00980001" w:rsidP="00254D43">
            <w:pPr>
              <w:pStyle w:val="R"/>
              <w:rPr>
                <w:rFonts w:ascii="Arial" w:hAnsi="Arial" w:cs="Arial"/>
                <w:sz w:val="40"/>
                <w:szCs w:val="40"/>
              </w:rPr>
            </w:pPr>
            <w:r w:rsidRPr="003D2A18">
              <w:rPr>
                <w:rFonts w:ascii="Arial" w:hAnsi="Arial" w:cs="Arial"/>
                <w:sz w:val="40"/>
                <w:szCs w:val="40"/>
              </w:rPr>
              <w:t>#1</w:t>
            </w:r>
          </w:p>
        </w:tc>
        <w:tc>
          <w:tcPr>
            <w:tcW w:w="8563"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42755246" w14:textId="77777777" w:rsidR="00980001" w:rsidRPr="003D2A18" w:rsidRDefault="00980001" w:rsidP="00F40631">
            <w:pPr>
              <w:rPr>
                <w:rFonts w:cs="Arial"/>
                <w:szCs w:val="18"/>
              </w:rPr>
            </w:pPr>
            <w:r w:rsidRPr="003D2A18">
              <w:rPr>
                <w:rFonts w:cs="Arial"/>
                <w:szCs w:val="18"/>
              </w:rPr>
              <w:t xml:space="preserve">Opdater al </w:t>
            </w:r>
            <w:r w:rsidRPr="00F40631">
              <w:t>software – udover at introducere nye lækre funktioner, indeholder en opdatering altid leverandørens tiltag til at beskytte systemerne og lukke eventuelle huller.</w:t>
            </w:r>
            <w:r w:rsidRPr="003D2A18">
              <w:rPr>
                <w:rFonts w:cs="Arial"/>
                <w:szCs w:val="18"/>
              </w:rPr>
              <w:t xml:space="preserve"> </w:t>
            </w:r>
          </w:p>
        </w:tc>
      </w:tr>
      <w:tr w:rsidR="00980001" w:rsidRPr="003D2A18" w14:paraId="6497E6F0" w14:textId="77777777" w:rsidTr="00980001">
        <w:trPr>
          <w:gridAfter w:val="1"/>
          <w:wAfter w:w="14" w:type="dxa"/>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607B545C" w14:textId="77777777" w:rsidR="00980001" w:rsidRPr="003D2A18" w:rsidRDefault="00980001" w:rsidP="00254D43">
            <w:pPr>
              <w:pStyle w:val="R"/>
              <w:rPr>
                <w:rFonts w:ascii="Arial" w:hAnsi="Arial" w:cs="Arial"/>
              </w:rPr>
            </w:pPr>
            <w:r w:rsidRPr="003D2A18">
              <w:rPr>
                <w:rFonts w:ascii="Arial" w:hAnsi="Arial" w:cs="Arial"/>
                <w:sz w:val="40"/>
                <w:szCs w:val="40"/>
              </w:rPr>
              <w:t>#2</w:t>
            </w:r>
          </w:p>
        </w:tc>
        <w:tc>
          <w:tcPr>
            <w:tcW w:w="8563"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66039D7" w14:textId="3F01F5E9" w:rsidR="00980001" w:rsidRPr="003D2A18" w:rsidRDefault="003D2A18" w:rsidP="00F40631">
            <w:pPr>
              <w:rPr>
                <w:rFonts w:cs="Arial"/>
                <w:szCs w:val="18"/>
              </w:rPr>
            </w:pPr>
            <w:r w:rsidRPr="003D2A18">
              <w:rPr>
                <w:rFonts w:cs="Arial"/>
                <w:szCs w:val="18"/>
              </w:rPr>
              <w:t xml:space="preserve">Vær varsom med, hvad du tilslutter til computeren – USB-nøgler eller andre enheder, kan være smittede med virus og malware, og kan smitte din computer, og i værste tilfælde hele </w:t>
            </w:r>
            <w:r w:rsidRPr="003D2A18">
              <w:rPr>
                <w:rFonts w:cs="Arial"/>
                <w:szCs w:val="18"/>
              </w:rPr>
              <w:fldChar w:fldCharType="begin"/>
            </w:r>
            <w:r w:rsidRPr="003D2A18">
              <w:rPr>
                <w:rFonts w:cs="Arial"/>
                <w:szCs w:val="18"/>
              </w:rPr>
              <w:instrText xml:space="preserve"> REF  Virksomhed  \* MERGEFORMAT </w:instrText>
            </w:r>
            <w:r w:rsidRPr="003D2A18">
              <w:rPr>
                <w:rFonts w:cs="Arial"/>
                <w:szCs w:val="18"/>
              </w:rPr>
              <w:fldChar w:fldCharType="separate"/>
            </w:r>
            <w:r w:rsidR="00A66793" w:rsidRPr="00A66793">
              <w:rPr>
                <w:rFonts w:eastAsiaTheme="minorHAnsi" w:cs="Arial"/>
                <w:noProof/>
                <w:szCs w:val="18"/>
              </w:rPr>
              <w:t>Virksomhed</w:t>
            </w:r>
            <w:r w:rsidRPr="003D2A18">
              <w:rPr>
                <w:rFonts w:cs="Arial"/>
                <w:szCs w:val="18"/>
              </w:rPr>
              <w:fldChar w:fldCharType="end"/>
            </w:r>
            <w:r w:rsidRPr="003D2A18">
              <w:rPr>
                <w:rFonts w:cs="Arial"/>
                <w:szCs w:val="18"/>
              </w:rPr>
              <w:t>s it-systemer og netværk. Undlad at bruge USB-nøgler til at flytte data, og tilslut kun USB-nøgler, hvor du har tillid til den person/virksomhed, du har fået den fra.</w:t>
            </w:r>
          </w:p>
        </w:tc>
      </w:tr>
      <w:tr w:rsidR="00980001" w:rsidRPr="003D2A18" w14:paraId="0EDDC8B1" w14:textId="77777777" w:rsidTr="00980001">
        <w:trPr>
          <w:gridAfter w:val="1"/>
          <w:wAfter w:w="14" w:type="dxa"/>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32836C84" w14:textId="77777777" w:rsidR="00980001" w:rsidRPr="003D2A18" w:rsidRDefault="00980001" w:rsidP="00254D43">
            <w:pPr>
              <w:pStyle w:val="R"/>
              <w:rPr>
                <w:rFonts w:ascii="Arial" w:hAnsi="Arial" w:cs="Arial"/>
              </w:rPr>
            </w:pPr>
            <w:r w:rsidRPr="003D2A18">
              <w:rPr>
                <w:rFonts w:ascii="Arial" w:hAnsi="Arial" w:cs="Arial"/>
                <w:sz w:val="40"/>
                <w:szCs w:val="40"/>
              </w:rPr>
              <w:t>#3</w:t>
            </w:r>
          </w:p>
        </w:tc>
        <w:tc>
          <w:tcPr>
            <w:tcW w:w="8563"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6E6C9EF" w14:textId="77777777" w:rsidR="00980001" w:rsidRPr="003D2A18" w:rsidRDefault="00980001" w:rsidP="00F40631">
            <w:pPr>
              <w:rPr>
                <w:rFonts w:cs="Arial"/>
                <w:szCs w:val="18"/>
              </w:rPr>
            </w:pPr>
            <w:r w:rsidRPr="003D2A18">
              <w:rPr>
                <w:rFonts w:cs="Arial"/>
                <w:szCs w:val="18"/>
              </w:rPr>
              <w:t xml:space="preserve">Vær varsom med dine fortrolige oplysninger og virksomhedens oplysninger. Undlad at indtaste private oplysninger eller særlige virksomhedsoplysninger på sociale medier, og lad helt være med at indtaste dem på netværk eller enheder, som ikke er dine egne eller virksomhedens. </w:t>
            </w:r>
          </w:p>
        </w:tc>
      </w:tr>
      <w:tr w:rsidR="00980001" w:rsidRPr="003D2A18" w14:paraId="4EB38789" w14:textId="77777777" w:rsidTr="00980001">
        <w:trPr>
          <w:gridAfter w:val="1"/>
          <w:wAfter w:w="14" w:type="dxa"/>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6D68F34F" w14:textId="77777777" w:rsidR="00980001" w:rsidRPr="003D2A18" w:rsidRDefault="00980001" w:rsidP="00254D43">
            <w:pPr>
              <w:pStyle w:val="R"/>
              <w:rPr>
                <w:rFonts w:ascii="Arial" w:hAnsi="Arial" w:cs="Arial"/>
              </w:rPr>
            </w:pPr>
            <w:r w:rsidRPr="003D2A18">
              <w:rPr>
                <w:rFonts w:ascii="Arial" w:hAnsi="Arial" w:cs="Arial"/>
                <w:sz w:val="40"/>
                <w:szCs w:val="40"/>
              </w:rPr>
              <w:t>#4</w:t>
            </w:r>
          </w:p>
        </w:tc>
        <w:tc>
          <w:tcPr>
            <w:tcW w:w="8563"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6E4B02B3" w14:textId="77777777" w:rsidR="00980001" w:rsidRPr="003D2A18" w:rsidRDefault="00980001" w:rsidP="00F40631">
            <w:pPr>
              <w:rPr>
                <w:rFonts w:cs="Arial"/>
                <w:szCs w:val="18"/>
              </w:rPr>
            </w:pPr>
            <w:r w:rsidRPr="003D2A18">
              <w:rPr>
                <w:rFonts w:cs="Arial"/>
                <w:szCs w:val="18"/>
              </w:rPr>
              <w:t xml:space="preserve">Brug stærke adgangskoder – et godt kodeord er langt og gerne med brug af tal, store/små bogstaver og specialtegn. Brug aldrig det samme kodeord flere steder. Undlad at dele dit kodeord med andre. Brug eventuelt en password-manager. </w:t>
            </w:r>
            <w:r w:rsidRPr="003D2A18">
              <w:rPr>
                <w:rFonts w:cs="Arial"/>
                <w:szCs w:val="18"/>
              </w:rPr>
              <w:br/>
              <w:t xml:space="preserve">Eksempelvis kan www.lastpass.com bruges. </w:t>
            </w:r>
          </w:p>
        </w:tc>
      </w:tr>
      <w:tr w:rsidR="00980001" w:rsidRPr="003D2A18" w14:paraId="4544B03C" w14:textId="77777777" w:rsidTr="00980001">
        <w:trPr>
          <w:gridAfter w:val="1"/>
          <w:wAfter w:w="14" w:type="dxa"/>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58636C02" w14:textId="77777777" w:rsidR="00980001" w:rsidRPr="003D2A18" w:rsidRDefault="00980001" w:rsidP="00254D43">
            <w:pPr>
              <w:pStyle w:val="R"/>
              <w:rPr>
                <w:rFonts w:ascii="Arial" w:hAnsi="Arial" w:cs="Arial"/>
              </w:rPr>
            </w:pPr>
            <w:r w:rsidRPr="003D2A18">
              <w:rPr>
                <w:rFonts w:ascii="Arial" w:hAnsi="Arial" w:cs="Arial"/>
                <w:sz w:val="40"/>
                <w:szCs w:val="40"/>
              </w:rPr>
              <w:t>#5</w:t>
            </w:r>
          </w:p>
        </w:tc>
        <w:tc>
          <w:tcPr>
            <w:tcW w:w="8563"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9336F60" w14:textId="77777777" w:rsidR="00980001" w:rsidRPr="003D2A18" w:rsidRDefault="00980001" w:rsidP="00F40631">
            <w:pPr>
              <w:rPr>
                <w:rFonts w:cs="Arial"/>
                <w:szCs w:val="18"/>
              </w:rPr>
            </w:pPr>
            <w:r w:rsidRPr="003D2A18">
              <w:rPr>
                <w:rFonts w:cs="Arial"/>
                <w:szCs w:val="18"/>
              </w:rPr>
              <w:t xml:space="preserve">Vær sikker på, hvem du kommunikerer med. Er du den mindste smule usikker, skal du ignorere e-mailen/sms’en og forsøge at få bekræftet henvendelsen på anden måde, eksempelvis ved at ringe til den pågældende. Det er IKKE flovt at spørge om identitetsbekræftelse. </w:t>
            </w:r>
          </w:p>
        </w:tc>
      </w:tr>
      <w:tr w:rsidR="00980001" w:rsidRPr="003D2A18" w14:paraId="4E466411" w14:textId="77777777" w:rsidTr="00980001">
        <w:trPr>
          <w:gridAfter w:val="1"/>
          <w:wAfter w:w="14" w:type="dxa"/>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729B919" w14:textId="77777777" w:rsidR="00980001" w:rsidRPr="003D2A18" w:rsidRDefault="00980001" w:rsidP="00254D43">
            <w:pPr>
              <w:pStyle w:val="R"/>
              <w:rPr>
                <w:rFonts w:ascii="Arial" w:hAnsi="Arial" w:cs="Arial"/>
              </w:rPr>
            </w:pPr>
            <w:r w:rsidRPr="003D2A18">
              <w:rPr>
                <w:rFonts w:ascii="Arial" w:hAnsi="Arial" w:cs="Arial"/>
                <w:sz w:val="40"/>
                <w:szCs w:val="40"/>
              </w:rPr>
              <w:t>#6</w:t>
            </w:r>
          </w:p>
        </w:tc>
        <w:tc>
          <w:tcPr>
            <w:tcW w:w="8563"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16AEE2FB" w14:textId="77777777" w:rsidR="00980001" w:rsidRPr="003D2A18" w:rsidRDefault="00980001" w:rsidP="00F40631">
            <w:pPr>
              <w:rPr>
                <w:rFonts w:cs="Arial"/>
                <w:szCs w:val="18"/>
              </w:rPr>
            </w:pPr>
            <w:r w:rsidRPr="003D2A18">
              <w:rPr>
                <w:rFonts w:cs="Arial"/>
                <w:szCs w:val="18"/>
              </w:rPr>
              <w:t xml:space="preserve">Beskyt dine og virksomhedens oplysninger mod ransomware – åbn aldrig vedhæftninger eller links fra ukendte afsendere, eller afsendere, hvor du er usikker på, om afsenderen er den, vedkommende siger, at han er. Se under #4. </w:t>
            </w:r>
          </w:p>
        </w:tc>
      </w:tr>
      <w:tr w:rsidR="00980001" w:rsidRPr="003D2A18" w14:paraId="13F0C723" w14:textId="77777777" w:rsidTr="00980001">
        <w:trPr>
          <w:gridAfter w:val="1"/>
          <w:wAfter w:w="14" w:type="dxa"/>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D79B272" w14:textId="77777777" w:rsidR="00980001" w:rsidRPr="003D2A18" w:rsidRDefault="00980001" w:rsidP="00254D43">
            <w:pPr>
              <w:pStyle w:val="R"/>
              <w:rPr>
                <w:rFonts w:ascii="Arial" w:hAnsi="Arial" w:cs="Arial"/>
              </w:rPr>
            </w:pPr>
            <w:r w:rsidRPr="003D2A18">
              <w:rPr>
                <w:rFonts w:ascii="Arial" w:hAnsi="Arial" w:cs="Arial"/>
                <w:sz w:val="40"/>
                <w:szCs w:val="40"/>
              </w:rPr>
              <w:t>#7</w:t>
            </w:r>
          </w:p>
        </w:tc>
        <w:tc>
          <w:tcPr>
            <w:tcW w:w="8563"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40BFAA30" w14:textId="77777777" w:rsidR="00980001" w:rsidRPr="003D2A18" w:rsidRDefault="00980001" w:rsidP="00F40631">
            <w:pPr>
              <w:rPr>
                <w:rFonts w:cs="Arial"/>
                <w:szCs w:val="18"/>
              </w:rPr>
            </w:pPr>
            <w:r w:rsidRPr="003D2A18">
              <w:rPr>
                <w:rFonts w:cs="Arial"/>
                <w:szCs w:val="18"/>
              </w:rPr>
              <w:t xml:space="preserve">Færrest mulige brugere skal have rettigheder til hardware og software. Hver bruger skal kun have adgang til de oplysninger, som den pågældende har brug for, for akkurat at kunne udføre sit arbejde. Det betyder færrest mulige brugerrettigheder. Der kan derfor være en god grund til, at du ikke har adgang til det samme som din kollega. </w:t>
            </w:r>
          </w:p>
        </w:tc>
      </w:tr>
      <w:tr w:rsidR="00980001" w:rsidRPr="003D2A18" w14:paraId="1F5E7A8F" w14:textId="77777777" w:rsidTr="00980001">
        <w:trPr>
          <w:gridAfter w:val="1"/>
          <w:wAfter w:w="14" w:type="dxa"/>
          <w:trHeight w:val="1684"/>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17143913" w14:textId="77777777" w:rsidR="00980001" w:rsidRPr="003D2A18" w:rsidRDefault="00980001" w:rsidP="00254D43">
            <w:pPr>
              <w:pStyle w:val="R"/>
              <w:rPr>
                <w:rFonts w:ascii="Arial" w:hAnsi="Arial" w:cs="Arial"/>
              </w:rPr>
            </w:pPr>
            <w:r w:rsidRPr="003D2A18">
              <w:rPr>
                <w:rFonts w:ascii="Arial" w:hAnsi="Arial" w:cs="Arial"/>
                <w:sz w:val="40"/>
                <w:szCs w:val="40"/>
              </w:rPr>
              <w:t>#8</w:t>
            </w:r>
          </w:p>
        </w:tc>
        <w:tc>
          <w:tcPr>
            <w:tcW w:w="8563"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DDE3995" w14:textId="77777777" w:rsidR="00980001" w:rsidRPr="003D2A18" w:rsidRDefault="00980001" w:rsidP="00F40631">
            <w:pPr>
              <w:rPr>
                <w:rFonts w:cs="Arial"/>
                <w:szCs w:val="18"/>
              </w:rPr>
            </w:pPr>
            <w:r w:rsidRPr="003D2A18">
              <w:rPr>
                <w:rFonts w:cs="Arial"/>
                <w:szCs w:val="18"/>
              </w:rPr>
              <w:t>Kig efter s’et (HTTPS) – hjemmesider, der kommunikerer via ”http” mangler sikkerhed, og it-kriminelle kan lytte med. ”HTTPS” er en krypteret og dermed sikker måde at kommunikere på via internettet. Du skal derfor sikre dig, at der i din browsersti øverst (URL) står https foran web-adressen eller at der er en grøn hængelås.</w:t>
            </w:r>
          </w:p>
          <w:p w14:paraId="5154055C" w14:textId="77777777" w:rsidR="00980001" w:rsidRPr="003D2A18" w:rsidRDefault="00980001" w:rsidP="00F40631">
            <w:pPr>
              <w:rPr>
                <w:rFonts w:cs="Arial"/>
                <w:szCs w:val="18"/>
              </w:rPr>
            </w:pPr>
            <w:r w:rsidRPr="003D2A18">
              <w:rPr>
                <w:rFonts w:cs="Arial"/>
                <w:noProof/>
                <w:szCs w:val="18"/>
              </w:rPr>
              <w:drawing>
                <wp:anchor distT="0" distB="0" distL="114300" distR="114300" simplePos="0" relativeHeight="251659264" behindDoc="0" locked="0" layoutInCell="1" allowOverlap="1" wp14:anchorId="25744EA3" wp14:editId="3075B587">
                  <wp:simplePos x="0" y="0"/>
                  <wp:positionH relativeFrom="column">
                    <wp:posOffset>40005</wp:posOffset>
                  </wp:positionH>
                  <wp:positionV relativeFrom="paragraph">
                    <wp:posOffset>52705</wp:posOffset>
                  </wp:positionV>
                  <wp:extent cx="2782800" cy="244800"/>
                  <wp:effectExtent l="25400" t="25400" r="11430" b="349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kker forbindelse.png"/>
                          <pic:cNvPicPr/>
                        </pic:nvPicPr>
                        <pic:blipFill>
                          <a:blip r:embed="rId12">
                            <a:extLst>
                              <a:ext uri="{28A0092B-C50C-407E-A947-70E740481C1C}">
                                <a14:useLocalDpi xmlns:a14="http://schemas.microsoft.com/office/drawing/2010/main" val="0"/>
                              </a:ext>
                            </a:extLst>
                          </a:blip>
                          <a:stretch>
                            <a:fillRect/>
                          </a:stretch>
                        </pic:blipFill>
                        <pic:spPr>
                          <a:xfrm>
                            <a:off x="0" y="0"/>
                            <a:ext cx="2782800" cy="24480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tc>
      </w:tr>
    </w:tbl>
    <w:p w14:paraId="6EEB0B4B" w14:textId="08C1947B" w:rsidR="00980001" w:rsidRPr="003D2A18" w:rsidRDefault="00980001" w:rsidP="00980001">
      <w:pPr>
        <w:pStyle w:val="R"/>
        <w:rPr>
          <w:rFonts w:ascii="Arial" w:hAnsi="Arial" w:cs="Arial"/>
          <w:sz w:val="40"/>
          <w:szCs w:val="40"/>
        </w:rPr>
      </w:pPr>
      <w:r w:rsidRPr="003D2A18">
        <w:rPr>
          <w:rFonts w:ascii="Arial" w:hAnsi="Arial" w:cs="Arial"/>
          <w:sz w:val="40"/>
          <w:szCs w:val="40"/>
        </w:rPr>
        <w:lastRenderedPageBreak/>
        <w:t>Generelle leveregler, fortsat</w:t>
      </w:r>
    </w:p>
    <w:tbl>
      <w:tblPr>
        <w:tblW w:w="10064" w:type="dxa"/>
        <w:tblInd w:w="-10" w:type="dxa"/>
        <w:tblLayout w:type="fixed"/>
        <w:tblCellMar>
          <w:left w:w="0" w:type="dxa"/>
          <w:right w:w="0" w:type="dxa"/>
        </w:tblCellMar>
        <w:tblLook w:val="0000" w:firstRow="0" w:lastRow="0" w:firstColumn="0" w:lastColumn="0" w:noHBand="0" w:noVBand="0"/>
      </w:tblPr>
      <w:tblGrid>
        <w:gridCol w:w="1134"/>
        <w:gridCol w:w="8930"/>
      </w:tblGrid>
      <w:tr w:rsidR="00980001" w:rsidRPr="003D2A18" w14:paraId="10352172" w14:textId="77777777" w:rsidTr="00980001">
        <w:trPr>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4A1D29F1" w14:textId="77777777" w:rsidR="00980001" w:rsidRPr="003D2A18" w:rsidRDefault="00980001" w:rsidP="00980001">
            <w:pPr>
              <w:pStyle w:val="R"/>
              <w:rPr>
                <w:rFonts w:ascii="Arial" w:hAnsi="Arial" w:cs="Arial"/>
              </w:rPr>
            </w:pPr>
            <w:r w:rsidRPr="003D2A18">
              <w:rPr>
                <w:rFonts w:ascii="Arial" w:hAnsi="Arial" w:cs="Arial"/>
                <w:sz w:val="40"/>
                <w:szCs w:val="40"/>
              </w:rPr>
              <w:t>#9</w:t>
            </w:r>
          </w:p>
        </w:tc>
        <w:tc>
          <w:tcPr>
            <w:tcW w:w="8930"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5BDED964" w14:textId="77777777" w:rsidR="00980001" w:rsidRPr="003D2A18" w:rsidRDefault="00980001" w:rsidP="00F40631">
            <w:r w:rsidRPr="003D2A18">
              <w:t xml:space="preserve">Undgå at bruge offentlige netværk – du vil blive overrasket over, hvor meget andre kan ”lytte” med på din kommunikation. Du kan heller ikke være sikker på, at du rammer det offentlige netværk – it-kriminelle kan have opsat en router, der næsten hedder det samme, så når du tror du har logget dig på et offentligt netværk, er det i virkeligheden de it-kriminelles netværk. Brug i stedet din mobiltelefon som router eller få hjælp fra it-afdelingen til at få installeret en VPN-forbindelse, du kan bruge på offentlige netværk. </w:t>
            </w:r>
          </w:p>
          <w:p w14:paraId="2820DFC4" w14:textId="77777777" w:rsidR="00980001" w:rsidRPr="003D2A18" w:rsidRDefault="00980001" w:rsidP="00F40631">
            <w:r w:rsidRPr="003D2A18">
              <w:t xml:space="preserve">Arbejder du hjemmefra skal du sørge for at ændre password til din egen router, så det ikke er det password, der ”fulgte med”. Har du brug for hjælp til det, kan du ringe til din teleudbyder eller spørge it-afdelingen. </w:t>
            </w:r>
          </w:p>
        </w:tc>
      </w:tr>
      <w:tr w:rsidR="00980001" w:rsidRPr="003D2A18" w14:paraId="2C5DC7D6" w14:textId="77777777" w:rsidTr="00980001">
        <w:trPr>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6150D194" w14:textId="77777777" w:rsidR="00980001" w:rsidRPr="003D2A18" w:rsidRDefault="00980001" w:rsidP="00980001">
            <w:pPr>
              <w:pStyle w:val="R"/>
              <w:rPr>
                <w:rFonts w:ascii="Arial" w:hAnsi="Arial" w:cs="Arial"/>
              </w:rPr>
            </w:pPr>
            <w:r w:rsidRPr="003D2A18">
              <w:rPr>
                <w:rFonts w:ascii="Arial" w:hAnsi="Arial" w:cs="Arial"/>
                <w:sz w:val="40"/>
                <w:szCs w:val="40"/>
              </w:rPr>
              <w:t>#10</w:t>
            </w:r>
          </w:p>
        </w:tc>
        <w:tc>
          <w:tcPr>
            <w:tcW w:w="8930"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484F952" w14:textId="77777777" w:rsidR="00980001" w:rsidRPr="003D2A18" w:rsidRDefault="00980001" w:rsidP="00F40631">
            <w:r w:rsidRPr="003D2A18">
              <w:t xml:space="preserve">Undlad at installere applikationer uden tilladelse fra it-afdelingen – applikationer kan bruges til at lagre mange flere oplysninger om dig, end de reelt har behov for. Særligt hvis de er gratis. </w:t>
            </w:r>
          </w:p>
        </w:tc>
      </w:tr>
      <w:tr w:rsidR="00980001" w:rsidRPr="003D2A18" w14:paraId="3805C861" w14:textId="77777777" w:rsidTr="00980001">
        <w:trPr>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24C818C3" w14:textId="77777777" w:rsidR="00980001" w:rsidRPr="003D2A18" w:rsidRDefault="00980001" w:rsidP="00980001">
            <w:pPr>
              <w:pStyle w:val="R"/>
              <w:rPr>
                <w:rFonts w:ascii="Arial" w:hAnsi="Arial" w:cs="Arial"/>
              </w:rPr>
            </w:pPr>
            <w:r w:rsidRPr="003D2A18">
              <w:rPr>
                <w:rFonts w:ascii="Arial" w:hAnsi="Arial" w:cs="Arial"/>
                <w:sz w:val="40"/>
                <w:szCs w:val="40"/>
              </w:rPr>
              <w:t>#11</w:t>
            </w:r>
          </w:p>
        </w:tc>
        <w:tc>
          <w:tcPr>
            <w:tcW w:w="8930"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2B6AB746" w14:textId="77777777" w:rsidR="00980001" w:rsidRPr="003D2A18" w:rsidRDefault="00980001" w:rsidP="00F40631">
            <w:r w:rsidRPr="003D2A18">
              <w:t>Spamfilteret er installeret af en årsag – undlad at åbne mails, der ligger i spamfilteret, medmindre du er helt sikker på, at afsenderen og e-mailen er troværdig.</w:t>
            </w:r>
          </w:p>
        </w:tc>
      </w:tr>
      <w:tr w:rsidR="00980001" w:rsidRPr="003D2A18" w14:paraId="5215E42F" w14:textId="77777777" w:rsidTr="00980001">
        <w:trPr>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50E503CF" w14:textId="77777777" w:rsidR="00980001" w:rsidRPr="003D2A18" w:rsidRDefault="00980001" w:rsidP="00980001">
            <w:pPr>
              <w:pStyle w:val="R"/>
              <w:rPr>
                <w:rFonts w:ascii="Arial" w:hAnsi="Arial" w:cs="Arial"/>
              </w:rPr>
            </w:pPr>
            <w:r w:rsidRPr="003D2A18">
              <w:rPr>
                <w:rFonts w:ascii="Arial" w:hAnsi="Arial" w:cs="Arial"/>
                <w:sz w:val="40"/>
                <w:szCs w:val="40"/>
              </w:rPr>
              <w:t>#12</w:t>
            </w:r>
          </w:p>
        </w:tc>
        <w:tc>
          <w:tcPr>
            <w:tcW w:w="8930"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CCFFC7B" w14:textId="77777777" w:rsidR="00980001" w:rsidRPr="003D2A18" w:rsidRDefault="00980001" w:rsidP="00F40631">
            <w:r w:rsidRPr="003D2A18">
              <w:t xml:space="preserve">Undlad at ændre på indstillinger, eksempelvis at Flash Player skal aktiveres manuelt. </w:t>
            </w:r>
          </w:p>
        </w:tc>
      </w:tr>
      <w:tr w:rsidR="00980001" w:rsidRPr="003D2A18" w14:paraId="22628C99" w14:textId="77777777" w:rsidTr="00980001">
        <w:trPr>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2CDFAF53" w14:textId="77777777" w:rsidR="00980001" w:rsidRPr="003D2A18" w:rsidRDefault="00980001" w:rsidP="00980001">
            <w:pPr>
              <w:pStyle w:val="R"/>
              <w:rPr>
                <w:rFonts w:ascii="Arial" w:hAnsi="Arial" w:cs="Arial"/>
              </w:rPr>
            </w:pPr>
            <w:r w:rsidRPr="003D2A18">
              <w:rPr>
                <w:rFonts w:ascii="Arial" w:hAnsi="Arial" w:cs="Arial"/>
                <w:sz w:val="40"/>
                <w:szCs w:val="40"/>
              </w:rPr>
              <w:t>#13</w:t>
            </w:r>
          </w:p>
        </w:tc>
        <w:tc>
          <w:tcPr>
            <w:tcW w:w="8930"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1C55CB3C" w14:textId="77777777" w:rsidR="00980001" w:rsidRPr="003D2A18" w:rsidRDefault="00980001" w:rsidP="00F40631">
            <w:r w:rsidRPr="003D2A18">
              <w:t xml:space="preserve">Lås altid dine enheder, når du forlader dem – og undlad i det hele taget at efterlade dem uden opsyn på steder med offentlig adgang. </w:t>
            </w:r>
          </w:p>
        </w:tc>
      </w:tr>
      <w:tr w:rsidR="00980001" w:rsidRPr="003D2A18" w14:paraId="1A30899E" w14:textId="77777777" w:rsidTr="00980001">
        <w:trPr>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39B88E38" w14:textId="77777777" w:rsidR="00980001" w:rsidRPr="003D2A18" w:rsidRDefault="00980001" w:rsidP="00980001">
            <w:pPr>
              <w:pStyle w:val="R"/>
              <w:rPr>
                <w:rFonts w:ascii="Arial" w:hAnsi="Arial" w:cs="Arial"/>
              </w:rPr>
            </w:pPr>
            <w:r w:rsidRPr="003D2A18">
              <w:rPr>
                <w:rFonts w:ascii="Arial" w:hAnsi="Arial" w:cs="Arial"/>
                <w:sz w:val="40"/>
                <w:szCs w:val="40"/>
              </w:rPr>
              <w:t>#14</w:t>
            </w:r>
          </w:p>
        </w:tc>
        <w:tc>
          <w:tcPr>
            <w:tcW w:w="8930"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834BC81" w14:textId="77777777" w:rsidR="00980001" w:rsidRPr="003D2A18" w:rsidRDefault="00980001" w:rsidP="00F40631">
            <w:r w:rsidRPr="003D2A18">
              <w:t xml:space="preserve">Dobbelttjek oplysninger fra udefrakommende – får du en henvendelse fra en myndighed, virksomhed, organisation, advokat, revisor eller andre, der vil have dig til at gøre noget for sig, skal du altid dobbelttjekke oplysningerne – tjek virksomheds­oplysninger, tegningsberettigede personer mv. via forskellige databaser, eksempelvis via CVR-numre. Er du stadig i tvivl, kan du ringe og få bekræftet, at henvendelsen er fra den, som den giver sig ud for at være. </w:t>
            </w:r>
          </w:p>
        </w:tc>
      </w:tr>
      <w:tr w:rsidR="00980001" w:rsidRPr="003D2A18" w14:paraId="38376D40" w14:textId="77777777" w:rsidTr="00980001">
        <w:trPr>
          <w:trHeight w:val="60"/>
        </w:trPr>
        <w:tc>
          <w:tcPr>
            <w:tcW w:w="1134"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531C237A" w14:textId="77777777" w:rsidR="00980001" w:rsidRPr="003D2A18" w:rsidRDefault="00980001" w:rsidP="00980001">
            <w:pPr>
              <w:pStyle w:val="R"/>
              <w:rPr>
                <w:rFonts w:ascii="Arial" w:hAnsi="Arial" w:cs="Arial"/>
              </w:rPr>
            </w:pPr>
            <w:r w:rsidRPr="003D2A18">
              <w:rPr>
                <w:rFonts w:ascii="Arial" w:hAnsi="Arial" w:cs="Arial"/>
                <w:sz w:val="40"/>
                <w:szCs w:val="40"/>
              </w:rPr>
              <w:t>#15</w:t>
            </w:r>
          </w:p>
        </w:tc>
        <w:tc>
          <w:tcPr>
            <w:tcW w:w="8930" w:type="dxa"/>
            <w:tcBorders>
              <w:top w:val="single" w:sz="8" w:space="0" w:color="000000"/>
              <w:left w:val="single" w:sz="8" w:space="0" w:color="000000"/>
              <w:bottom w:val="single" w:sz="8" w:space="0" w:color="000000"/>
              <w:right w:val="single" w:sz="8" w:space="0" w:color="000000"/>
            </w:tcBorders>
            <w:tcMar>
              <w:top w:w="170" w:type="dxa"/>
              <w:left w:w="80" w:type="dxa"/>
              <w:bottom w:w="170" w:type="dxa"/>
              <w:right w:w="80" w:type="dxa"/>
            </w:tcMar>
          </w:tcPr>
          <w:p w14:paraId="7989D82F" w14:textId="77777777" w:rsidR="00980001" w:rsidRPr="003D2A18" w:rsidRDefault="00980001" w:rsidP="00F40631">
            <w:r w:rsidRPr="003D2A18">
              <w:t>Brug din sunde fornuft – hvis noget lyder for godt til at være sandt, så er det typisk også.</w:t>
            </w:r>
          </w:p>
        </w:tc>
      </w:tr>
    </w:tbl>
    <w:p w14:paraId="4166F290" w14:textId="77777777" w:rsidR="00980001" w:rsidRPr="003D2A18" w:rsidRDefault="00980001" w:rsidP="00980001">
      <w:pPr>
        <w:rPr>
          <w:rFonts w:cs="Arial"/>
        </w:rPr>
      </w:pPr>
    </w:p>
    <w:sectPr w:rsidR="00980001" w:rsidRPr="003D2A18">
      <w:footerReference w:type="default" r:id="rId13"/>
      <w:pgSz w:w="11906" w:h="16838" w:code="9"/>
      <w:pgMar w:top="1134" w:right="707" w:bottom="1134" w:left="1134"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89C1" w14:textId="77777777" w:rsidR="007F3A9F" w:rsidRDefault="007F3A9F">
      <w:r>
        <w:separator/>
      </w:r>
    </w:p>
  </w:endnote>
  <w:endnote w:type="continuationSeparator" w:id="0">
    <w:p w14:paraId="1B42F542" w14:textId="77777777" w:rsidR="007F3A9F" w:rsidRDefault="007F3A9F">
      <w:r>
        <w:continuationSeparator/>
      </w:r>
    </w:p>
  </w:endnote>
  <w:endnote w:type="continuationNotice" w:id="1">
    <w:p w14:paraId="6E8987CD" w14:textId="77777777" w:rsidR="007F3A9F" w:rsidRDefault="007F3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axis Com">
    <w:charset w:val="00"/>
    <w:family w:val="swiss"/>
    <w:pitch w:val="variable"/>
    <w:sig w:usb0="00000087"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kko Pro">
    <w:panose1 w:val="00000000000000000000"/>
    <w:charset w:val="00"/>
    <w:family w:val="swiss"/>
    <w:notTrueType/>
    <w:pitch w:val="variable"/>
    <w:sig w:usb0="00000007"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1874" w14:textId="08271129" w:rsidR="00D437E9" w:rsidRDefault="00D437E9" w:rsidP="00A66793">
    <w:pPr>
      <w:pStyle w:val="Sidefod"/>
      <w:tabs>
        <w:tab w:val="clear" w:pos="4819"/>
        <w:tab w:val="left" w:pos="993"/>
      </w:tabs>
      <w:rPr>
        <w:sz w:val="16"/>
      </w:rPr>
    </w:pPr>
    <w:r>
      <w:rPr>
        <w:sz w:val="16"/>
      </w:rPr>
      <w:t>Copyright</w:t>
    </w:r>
    <w:r>
      <w:tab/>
    </w:r>
    <w:proofErr w:type="spellStart"/>
    <w:r>
      <w:rPr>
        <w:sz w:val="16"/>
      </w:rPr>
      <w:t>E</w:t>
    </w:r>
    <w:r w:rsidR="00F923FB">
      <w:rPr>
        <w:sz w:val="16"/>
      </w:rPr>
      <w:t>jendom</w:t>
    </w:r>
    <w:r>
      <w:rPr>
        <w:sz w:val="16"/>
      </w:rPr>
      <w:t>D</w:t>
    </w:r>
    <w:r w:rsidR="00F923FB">
      <w:rPr>
        <w:sz w:val="16"/>
      </w:rPr>
      <w:t>anmark</w:t>
    </w:r>
    <w:proofErr w:type="spellEnd"/>
    <w:r>
      <w:tab/>
    </w:r>
    <w:r>
      <w:rPr>
        <w:rStyle w:val="Sidetal"/>
      </w:rPr>
      <w:fldChar w:fldCharType="begin"/>
    </w:r>
    <w:r>
      <w:rPr>
        <w:rStyle w:val="Sidetal"/>
      </w:rPr>
      <w:instrText xml:space="preserve"> PAGE </w:instrText>
    </w:r>
    <w:r>
      <w:rPr>
        <w:rStyle w:val="Sidetal"/>
      </w:rPr>
      <w:fldChar w:fldCharType="separate"/>
    </w:r>
    <w:r w:rsidR="00F923FB">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F923FB">
      <w:rPr>
        <w:rStyle w:val="Sidetal"/>
        <w:noProof/>
      </w:rPr>
      <w:t>3</w:t>
    </w:r>
    <w:r>
      <w:rPr>
        <w:rStyle w:val="Sidetal"/>
      </w:rPr>
      <w:fldChar w:fldCharType="end"/>
    </w:r>
    <w:r w:rsidR="00A66793">
      <w:rPr>
        <w:rStyle w:val="Sidetal"/>
      </w:rPr>
      <w:br/>
    </w:r>
    <w:r>
      <w:tab/>
    </w:r>
  </w:p>
  <w:p w14:paraId="5F1BF999" w14:textId="708F9991" w:rsidR="00D437E9" w:rsidRDefault="00D437E9">
    <w:pPr>
      <w:pStyle w:val="Sidefod"/>
      <w:tabs>
        <w:tab w:val="left" w:pos="993"/>
      </w:tabs>
    </w:pPr>
    <w:r>
      <w:t>form. 18-20-</w:t>
    </w:r>
    <w:r w:rsidR="00980001">
      <w:t>D</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E2E5" w14:textId="77777777" w:rsidR="007F3A9F" w:rsidRDefault="007F3A9F">
      <w:r>
        <w:separator/>
      </w:r>
    </w:p>
  </w:footnote>
  <w:footnote w:type="continuationSeparator" w:id="0">
    <w:p w14:paraId="08E4F45D" w14:textId="77777777" w:rsidR="007F3A9F" w:rsidRDefault="007F3A9F">
      <w:r>
        <w:continuationSeparator/>
      </w:r>
    </w:p>
  </w:footnote>
  <w:footnote w:type="continuationNotice" w:id="1">
    <w:p w14:paraId="754E447F" w14:textId="77777777" w:rsidR="007F3A9F" w:rsidRDefault="007F3A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96C57"/>
    <w:multiLevelType w:val="hybridMultilevel"/>
    <w:tmpl w:val="273A423A"/>
    <w:lvl w:ilvl="0" w:tplc="1E62FCB0">
      <w:numFmt w:val="bullet"/>
      <w:lvlText w:val="-"/>
      <w:lvlJc w:val="left"/>
      <w:pPr>
        <w:ind w:left="559" w:hanging="113"/>
      </w:pPr>
      <w:rPr>
        <w:rFonts w:ascii="Arial" w:eastAsia="Arial" w:hAnsi="Arial" w:cs="Arial" w:hint="default"/>
        <w:w w:val="102"/>
        <w:sz w:val="18"/>
        <w:szCs w:val="18"/>
      </w:rPr>
    </w:lvl>
    <w:lvl w:ilvl="1" w:tplc="B89820EA">
      <w:numFmt w:val="bullet"/>
      <w:lvlText w:val="•"/>
      <w:lvlJc w:val="left"/>
      <w:pPr>
        <w:ind w:left="1532" w:hanging="113"/>
      </w:pPr>
      <w:rPr>
        <w:rFonts w:hint="default"/>
      </w:rPr>
    </w:lvl>
    <w:lvl w:ilvl="2" w:tplc="17903BD4">
      <w:numFmt w:val="bullet"/>
      <w:lvlText w:val="•"/>
      <w:lvlJc w:val="left"/>
      <w:pPr>
        <w:ind w:left="2504" w:hanging="113"/>
      </w:pPr>
      <w:rPr>
        <w:rFonts w:hint="default"/>
      </w:rPr>
    </w:lvl>
    <w:lvl w:ilvl="3" w:tplc="98F692B2">
      <w:numFmt w:val="bullet"/>
      <w:lvlText w:val="•"/>
      <w:lvlJc w:val="left"/>
      <w:pPr>
        <w:ind w:left="3476" w:hanging="113"/>
      </w:pPr>
      <w:rPr>
        <w:rFonts w:hint="default"/>
      </w:rPr>
    </w:lvl>
    <w:lvl w:ilvl="4" w:tplc="2B7ECE12">
      <w:numFmt w:val="bullet"/>
      <w:lvlText w:val="•"/>
      <w:lvlJc w:val="left"/>
      <w:pPr>
        <w:ind w:left="4448" w:hanging="113"/>
      </w:pPr>
      <w:rPr>
        <w:rFonts w:hint="default"/>
      </w:rPr>
    </w:lvl>
    <w:lvl w:ilvl="5" w:tplc="41060224">
      <w:numFmt w:val="bullet"/>
      <w:lvlText w:val="•"/>
      <w:lvlJc w:val="left"/>
      <w:pPr>
        <w:ind w:left="5420" w:hanging="113"/>
      </w:pPr>
      <w:rPr>
        <w:rFonts w:hint="default"/>
      </w:rPr>
    </w:lvl>
    <w:lvl w:ilvl="6" w:tplc="65840470">
      <w:numFmt w:val="bullet"/>
      <w:lvlText w:val="•"/>
      <w:lvlJc w:val="left"/>
      <w:pPr>
        <w:ind w:left="6392" w:hanging="113"/>
      </w:pPr>
      <w:rPr>
        <w:rFonts w:hint="default"/>
      </w:rPr>
    </w:lvl>
    <w:lvl w:ilvl="7" w:tplc="AD286912">
      <w:numFmt w:val="bullet"/>
      <w:lvlText w:val="•"/>
      <w:lvlJc w:val="left"/>
      <w:pPr>
        <w:ind w:left="7364" w:hanging="113"/>
      </w:pPr>
      <w:rPr>
        <w:rFonts w:hint="default"/>
      </w:rPr>
    </w:lvl>
    <w:lvl w:ilvl="8" w:tplc="4D7E7308">
      <w:numFmt w:val="bullet"/>
      <w:lvlText w:val="•"/>
      <w:lvlJc w:val="left"/>
      <w:pPr>
        <w:ind w:left="8336" w:hanging="113"/>
      </w:pPr>
      <w:rPr>
        <w:rFonts w:hint="default"/>
      </w:rPr>
    </w:lvl>
  </w:abstractNum>
  <w:abstractNum w:abstractNumId="1" w15:restartNumberingAfterBreak="0">
    <w:nsid w:val="2E7F7082"/>
    <w:multiLevelType w:val="singleLevel"/>
    <w:tmpl w:val="0406000F"/>
    <w:lvl w:ilvl="0">
      <w:start w:val="1"/>
      <w:numFmt w:val="decimal"/>
      <w:lvlText w:val="%1."/>
      <w:lvlJc w:val="left"/>
      <w:pPr>
        <w:tabs>
          <w:tab w:val="num" w:pos="360"/>
        </w:tabs>
        <w:ind w:left="360" w:hanging="360"/>
      </w:pPr>
      <w:rPr>
        <w:rFonts w:hint="default"/>
      </w:rPr>
    </w:lvl>
  </w:abstractNum>
  <w:abstractNum w:abstractNumId="2" w15:restartNumberingAfterBreak="0">
    <w:nsid w:val="3DD73353"/>
    <w:multiLevelType w:val="singleLevel"/>
    <w:tmpl w:val="0406000F"/>
    <w:lvl w:ilvl="0">
      <w:start w:val="1"/>
      <w:numFmt w:val="decimal"/>
      <w:lvlText w:val="%1."/>
      <w:lvlJc w:val="left"/>
      <w:pPr>
        <w:tabs>
          <w:tab w:val="num" w:pos="360"/>
        </w:tabs>
        <w:ind w:left="360" w:hanging="360"/>
      </w:pPr>
      <w:rPr>
        <w:rFonts w:hint="default"/>
      </w:rPr>
    </w:lvl>
  </w:abstractNum>
  <w:abstractNum w:abstractNumId="3" w15:restartNumberingAfterBreak="0">
    <w:nsid w:val="4A9279F4"/>
    <w:multiLevelType w:val="hybridMultilevel"/>
    <w:tmpl w:val="CFDE3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0B0334"/>
    <w:multiLevelType w:val="singleLevel"/>
    <w:tmpl w:val="0ACCAA44"/>
    <w:lvl w:ilvl="0">
      <w:start w:val="3"/>
      <w:numFmt w:val="decimal"/>
      <w:lvlText w:val="%1."/>
      <w:lvlJc w:val="left"/>
      <w:pPr>
        <w:tabs>
          <w:tab w:val="num" w:pos="360"/>
        </w:tabs>
        <w:ind w:left="360" w:hanging="360"/>
      </w:pPr>
      <w:rPr>
        <w:rFonts w:hint="default"/>
        <w:b/>
      </w:rPr>
    </w:lvl>
  </w:abstractNum>
  <w:abstractNum w:abstractNumId="5" w15:restartNumberingAfterBreak="0">
    <w:nsid w:val="6AFA3E43"/>
    <w:multiLevelType w:val="singleLevel"/>
    <w:tmpl w:val="04060011"/>
    <w:lvl w:ilvl="0">
      <w:start w:val="1"/>
      <w:numFmt w:val="decimal"/>
      <w:lvlText w:val="%1)"/>
      <w:lvlJc w:val="left"/>
      <w:pPr>
        <w:tabs>
          <w:tab w:val="num" w:pos="360"/>
        </w:tabs>
        <w:ind w:left="360" w:hanging="360"/>
      </w:pPr>
      <w:rPr>
        <w:rFonts w:hint="default"/>
      </w:rPr>
    </w:lvl>
  </w:abstractNum>
  <w:abstractNum w:abstractNumId="6" w15:restartNumberingAfterBreak="0">
    <w:nsid w:val="73FC4F19"/>
    <w:multiLevelType w:val="hybridMultilevel"/>
    <w:tmpl w:val="726AD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9C"/>
    <w:rsid w:val="000128AC"/>
    <w:rsid w:val="00111BE1"/>
    <w:rsid w:val="0012099C"/>
    <w:rsid w:val="00166425"/>
    <w:rsid w:val="00174837"/>
    <w:rsid w:val="00180D94"/>
    <w:rsid w:val="00181689"/>
    <w:rsid w:val="001877DC"/>
    <w:rsid w:val="00221C14"/>
    <w:rsid w:val="0024753A"/>
    <w:rsid w:val="00264292"/>
    <w:rsid w:val="002B68E6"/>
    <w:rsid w:val="002C43C5"/>
    <w:rsid w:val="00300E7B"/>
    <w:rsid w:val="00327C49"/>
    <w:rsid w:val="0036430B"/>
    <w:rsid w:val="003A3075"/>
    <w:rsid w:val="003A3E62"/>
    <w:rsid w:val="003D2A18"/>
    <w:rsid w:val="00406564"/>
    <w:rsid w:val="004127D3"/>
    <w:rsid w:val="00421A47"/>
    <w:rsid w:val="004235B7"/>
    <w:rsid w:val="004278BD"/>
    <w:rsid w:val="004343F1"/>
    <w:rsid w:val="004F7411"/>
    <w:rsid w:val="00513E1F"/>
    <w:rsid w:val="0051682E"/>
    <w:rsid w:val="005318C4"/>
    <w:rsid w:val="00551F08"/>
    <w:rsid w:val="0058344A"/>
    <w:rsid w:val="00685A8D"/>
    <w:rsid w:val="006D4E40"/>
    <w:rsid w:val="006D7DDC"/>
    <w:rsid w:val="006F1D1C"/>
    <w:rsid w:val="0074192C"/>
    <w:rsid w:val="00761B2D"/>
    <w:rsid w:val="007A7DD9"/>
    <w:rsid w:val="007C7297"/>
    <w:rsid w:val="007E0BFB"/>
    <w:rsid w:val="007E180A"/>
    <w:rsid w:val="007F3A9F"/>
    <w:rsid w:val="00806118"/>
    <w:rsid w:val="00816C22"/>
    <w:rsid w:val="00823553"/>
    <w:rsid w:val="00867C76"/>
    <w:rsid w:val="00870DF4"/>
    <w:rsid w:val="008B7958"/>
    <w:rsid w:val="008C6DAF"/>
    <w:rsid w:val="0091523B"/>
    <w:rsid w:val="00963DBF"/>
    <w:rsid w:val="00973D3B"/>
    <w:rsid w:val="00980001"/>
    <w:rsid w:val="009D0749"/>
    <w:rsid w:val="009F1D3B"/>
    <w:rsid w:val="009F484A"/>
    <w:rsid w:val="00A223D2"/>
    <w:rsid w:val="00A66793"/>
    <w:rsid w:val="00A80287"/>
    <w:rsid w:val="00A94139"/>
    <w:rsid w:val="00AA440A"/>
    <w:rsid w:val="00AC14B4"/>
    <w:rsid w:val="00AE1636"/>
    <w:rsid w:val="00AE4DDC"/>
    <w:rsid w:val="00AF581A"/>
    <w:rsid w:val="00B03984"/>
    <w:rsid w:val="00B14167"/>
    <w:rsid w:val="00B36EE7"/>
    <w:rsid w:val="00B5080F"/>
    <w:rsid w:val="00B72567"/>
    <w:rsid w:val="00B90563"/>
    <w:rsid w:val="00BA0BD5"/>
    <w:rsid w:val="00BC5B3B"/>
    <w:rsid w:val="00BF15DA"/>
    <w:rsid w:val="00C174FF"/>
    <w:rsid w:val="00C313E5"/>
    <w:rsid w:val="00C70063"/>
    <w:rsid w:val="00C84358"/>
    <w:rsid w:val="00C96849"/>
    <w:rsid w:val="00CC5BBC"/>
    <w:rsid w:val="00CE1A2D"/>
    <w:rsid w:val="00CE4344"/>
    <w:rsid w:val="00D303B0"/>
    <w:rsid w:val="00D437E9"/>
    <w:rsid w:val="00D5235D"/>
    <w:rsid w:val="00D61C0F"/>
    <w:rsid w:val="00D67CE2"/>
    <w:rsid w:val="00D67E2B"/>
    <w:rsid w:val="00D717D6"/>
    <w:rsid w:val="00D75CC3"/>
    <w:rsid w:val="00D80ECA"/>
    <w:rsid w:val="00D840E7"/>
    <w:rsid w:val="00DA726D"/>
    <w:rsid w:val="00DE5384"/>
    <w:rsid w:val="00E40A9C"/>
    <w:rsid w:val="00E732C5"/>
    <w:rsid w:val="00E76ED6"/>
    <w:rsid w:val="00E84D7E"/>
    <w:rsid w:val="00E909FB"/>
    <w:rsid w:val="00EC1895"/>
    <w:rsid w:val="00ED1A46"/>
    <w:rsid w:val="00F40631"/>
    <w:rsid w:val="00F46828"/>
    <w:rsid w:val="00F80CB4"/>
    <w:rsid w:val="00F923FB"/>
    <w:rsid w:val="00F95D07"/>
    <w:rsid w:val="00FA142E"/>
    <w:rsid w:val="00FB4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944A"/>
  <w15:chartTrackingRefBased/>
  <w15:docId w15:val="{761A6035-48EA-46BF-AE7B-C7772F8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0631"/>
    <w:pPr>
      <w:spacing w:before="120" w:line="360" w:lineRule="auto"/>
    </w:pPr>
    <w:rPr>
      <w:rFonts w:ascii="Arial" w:hAnsi="Arial"/>
      <w:sz w:val="18"/>
    </w:rPr>
  </w:style>
  <w:style w:type="paragraph" w:styleId="Overskrift1">
    <w:name w:val="heading 1"/>
    <w:basedOn w:val="Normal"/>
    <w:next w:val="Normal"/>
    <w:qFormat/>
    <w:rsid w:val="00F40631"/>
    <w:pPr>
      <w:keepNext/>
      <w:jc w:val="center"/>
      <w:outlineLvl w:val="0"/>
    </w:pPr>
    <w:rPr>
      <w:b/>
      <w:sz w:val="28"/>
    </w:rPr>
  </w:style>
  <w:style w:type="paragraph" w:styleId="Overskrift2">
    <w:name w:val="heading 2"/>
    <w:basedOn w:val="Normal"/>
    <w:next w:val="Normal"/>
    <w:qFormat/>
    <w:pPr>
      <w:keepNext/>
      <w:tabs>
        <w:tab w:val="left" w:pos="567"/>
        <w:tab w:val="left" w:pos="1560"/>
        <w:tab w:val="left" w:pos="2694"/>
        <w:tab w:val="left" w:pos="3261"/>
        <w:tab w:val="left" w:pos="3544"/>
        <w:tab w:val="left" w:pos="3686"/>
        <w:tab w:val="left" w:pos="4253"/>
        <w:tab w:val="left" w:pos="5387"/>
        <w:tab w:val="left" w:pos="5529"/>
        <w:tab w:val="left" w:pos="5954"/>
        <w:tab w:val="left" w:pos="6379"/>
        <w:tab w:val="left" w:pos="6804"/>
      </w:tabs>
      <w:outlineLvl w:val="1"/>
    </w:pPr>
    <w:rPr>
      <w:b/>
    </w:rPr>
  </w:style>
  <w:style w:type="paragraph" w:styleId="Overskrift3">
    <w:name w:val="heading 3"/>
    <w:basedOn w:val="Normal"/>
    <w:next w:val="Normal"/>
    <w:qFormat/>
    <w:pPr>
      <w:keepNext/>
      <w:spacing w:before="100" w:after="60"/>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Dokumentoversigt">
    <w:name w:val="Document Map"/>
    <w:basedOn w:val="Normal"/>
    <w:semiHidden/>
    <w:rsid w:val="00BF15DA"/>
    <w:pPr>
      <w:shd w:val="clear" w:color="auto" w:fill="000080"/>
    </w:pPr>
    <w:rPr>
      <w:rFonts w:ascii="Tahoma" w:hAnsi="Tahoma" w:cs="Tahoma"/>
      <w:sz w:val="20"/>
    </w:rPr>
  </w:style>
  <w:style w:type="paragraph" w:styleId="Markeringsbobletekst">
    <w:name w:val="Balloon Text"/>
    <w:basedOn w:val="Normal"/>
    <w:semiHidden/>
    <w:rsid w:val="00FB4940"/>
    <w:rPr>
      <w:rFonts w:ascii="Tahoma" w:hAnsi="Tahoma" w:cs="Tahoma"/>
      <w:sz w:val="16"/>
      <w:szCs w:val="16"/>
    </w:rPr>
  </w:style>
  <w:style w:type="character" w:styleId="Kommentarhenvisning">
    <w:name w:val="annotation reference"/>
    <w:rsid w:val="00327C49"/>
    <w:rPr>
      <w:sz w:val="16"/>
      <w:szCs w:val="16"/>
    </w:rPr>
  </w:style>
  <w:style w:type="paragraph" w:styleId="Kommentartekst">
    <w:name w:val="annotation text"/>
    <w:basedOn w:val="Normal"/>
    <w:link w:val="KommentartekstTegn"/>
    <w:rsid w:val="00327C49"/>
    <w:rPr>
      <w:sz w:val="20"/>
    </w:rPr>
  </w:style>
  <w:style w:type="character" w:customStyle="1" w:styleId="KommentartekstTegn">
    <w:name w:val="Kommentartekst Tegn"/>
    <w:basedOn w:val="Standardskrifttypeiafsnit"/>
    <w:link w:val="Kommentartekst"/>
    <w:rsid w:val="00327C49"/>
  </w:style>
  <w:style w:type="paragraph" w:styleId="Kommentaremne">
    <w:name w:val="annotation subject"/>
    <w:basedOn w:val="Kommentartekst"/>
    <w:next w:val="Kommentartekst"/>
    <w:link w:val="KommentaremneTegn"/>
    <w:rsid w:val="00327C49"/>
    <w:rPr>
      <w:b/>
      <w:bCs/>
    </w:rPr>
  </w:style>
  <w:style w:type="character" w:customStyle="1" w:styleId="KommentaremneTegn">
    <w:name w:val="Kommentaremne Tegn"/>
    <w:link w:val="Kommentaremne"/>
    <w:rsid w:val="00327C49"/>
    <w:rPr>
      <w:b/>
      <w:bCs/>
    </w:rPr>
  </w:style>
  <w:style w:type="paragraph" w:styleId="Korrektur">
    <w:name w:val="Revision"/>
    <w:hidden/>
    <w:uiPriority w:val="99"/>
    <w:semiHidden/>
    <w:rsid w:val="004278BD"/>
    <w:rPr>
      <w:sz w:val="24"/>
    </w:rPr>
  </w:style>
  <w:style w:type="paragraph" w:styleId="Listeafsnit">
    <w:name w:val="List Paragraph"/>
    <w:basedOn w:val="Normal"/>
    <w:uiPriority w:val="1"/>
    <w:qFormat/>
    <w:rsid w:val="007E180A"/>
    <w:pPr>
      <w:widowControl w:val="0"/>
      <w:autoSpaceDE w:val="0"/>
      <w:autoSpaceDN w:val="0"/>
      <w:spacing w:before="55"/>
      <w:ind w:left="559" w:hanging="112"/>
    </w:pPr>
    <w:rPr>
      <w:rFonts w:eastAsia="Arial" w:cs="Arial"/>
      <w:sz w:val="22"/>
      <w:szCs w:val="22"/>
      <w:lang w:val="en-US" w:eastAsia="en-US"/>
    </w:rPr>
  </w:style>
  <w:style w:type="paragraph" w:customStyle="1" w:styleId="B">
    <w:name w:val="B"/>
    <w:basedOn w:val="Normal"/>
    <w:uiPriority w:val="99"/>
    <w:rsid w:val="006D4E40"/>
    <w:pPr>
      <w:autoSpaceDE w:val="0"/>
      <w:autoSpaceDN w:val="0"/>
      <w:adjustRightInd w:val="0"/>
      <w:spacing w:line="320" w:lineRule="atLeast"/>
      <w:textAlignment w:val="center"/>
    </w:pPr>
    <w:rPr>
      <w:rFonts w:ascii="Praxis Com" w:eastAsiaTheme="minorHAnsi" w:hAnsi="Praxis Com" w:cs="Praxis Com"/>
      <w:color w:val="000000"/>
      <w:szCs w:val="24"/>
      <w:lang w:eastAsia="en-US"/>
    </w:rPr>
  </w:style>
  <w:style w:type="paragraph" w:customStyle="1" w:styleId="R">
    <w:name w:val="R"/>
    <w:basedOn w:val="Normal"/>
    <w:uiPriority w:val="99"/>
    <w:rsid w:val="00980001"/>
    <w:pPr>
      <w:autoSpaceDE w:val="0"/>
      <w:autoSpaceDN w:val="0"/>
      <w:adjustRightInd w:val="0"/>
      <w:spacing w:line="288" w:lineRule="auto"/>
      <w:textAlignment w:val="center"/>
    </w:pPr>
    <w:rPr>
      <w:rFonts w:ascii="Akko Pro" w:eastAsiaTheme="minorHAnsi" w:hAnsi="Akko Pro" w:cs="Akko Pro"/>
      <w:b/>
      <w:bCs/>
      <w:color w:val="000000"/>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994">
      <w:bodyDiv w:val="1"/>
      <w:marLeft w:val="0"/>
      <w:marRight w:val="0"/>
      <w:marTop w:val="0"/>
      <w:marBottom w:val="0"/>
      <w:divBdr>
        <w:top w:val="none" w:sz="0" w:space="0" w:color="auto"/>
        <w:left w:val="none" w:sz="0" w:space="0" w:color="auto"/>
        <w:bottom w:val="none" w:sz="0" w:space="0" w:color="auto"/>
        <w:right w:val="none" w:sz="0" w:space="0" w:color="auto"/>
      </w:divBdr>
    </w:div>
    <w:div w:id="16541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Jura:Aftaler, blanketter og kontrakter:Blanketter</TermName>
          <TermId xmlns="http://schemas.microsoft.com/office/infopath/2007/PartnerControls">5eb48174-f468-4e50-b88b-801fd56f7f0a</TermId>
        </TermInfo>
      </Terms>
    </faa4da2dc18b48c29b77bb3c2f031397>
    <l5071cf4c42f45c192a2e9562ac9e1c8 xmlns="e8be2329-8b22-475d-be18-1f098bcaa13e">
      <Terms xmlns="http://schemas.microsoft.com/office/infopath/2007/PartnerControls">
        <TermInfo xmlns="http://schemas.microsoft.com/office/infopath/2007/PartnerControls">
          <TermName xmlns="http://schemas.microsoft.com/office/infopath/2007/PartnerControls">Medlemmer</TermName>
          <TermId xmlns="http://schemas.microsoft.com/office/infopath/2007/PartnerControls">d25fa20e-797c-4f1c-87b6-794e950d7c08</TermId>
        </TermInfo>
      </Terms>
    </l5071cf4c42f45c192a2e9562ac9e1c8>
    <oe4ba48a9d424ddba65b407537d6532e xmlns="e8be2329-8b22-475d-be18-1f098bcaa13e">
      <Terms xmlns="http://schemas.microsoft.com/office/infopath/2007/PartnerControls">
        <TermInfo xmlns="http://schemas.microsoft.com/office/infopath/2007/PartnerControls">
          <TermName xmlns="http://schemas.microsoft.com/office/infopath/2007/PartnerControls">Boliglejeret</TermName>
          <TermId xmlns="http://schemas.microsoft.com/office/infopath/2007/PartnerControls">c94960c0-44dc-4b41-a8d1-9d7bdcf6754c</TermId>
        </TermInfo>
      </Terms>
    </oe4ba48a9d424ddba65b407537d6532e>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Jura</TermName>
          <TermId>7d4bfbbf-6cc7-4517-a422-95a4248c52f5</TermId>
        </TermInfo>
      </Terms>
    </f926a1ee8d3041a7ae49c665f88e30ce>
    <TaxCatchAll xmlns="e8be2329-8b22-475d-be18-1f098bcaa13e">
      <Value>845</Value>
      <Value>40</Value>
      <Value>33</Value>
      <Value>1</Value>
      <Value>28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cbdaf01-447d-4403-a85d-be92d0585d18" ContentTypeId="0x010100C39B01F0E906BD43BFC695DB843E51A1" PreviousValue="false"/>
</file>

<file path=customXml/item4.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7" ma:contentTypeDescription="Denne indholdstype benytter ingen skabelon." ma:contentTypeScope="" ma:versionID="563b0640d89f70a2017c9183b669debf">
  <xsd:schema xmlns:xsd="http://www.w3.org/2001/XMLSchema" xmlns:xs="http://www.w3.org/2001/XMLSchema" xmlns:p="http://schemas.microsoft.com/office/2006/metadata/properties" xmlns:ns2="e8be2329-8b22-475d-be18-1f098bcaa13e" xmlns:ns3="4db0dc19-933a-4af8-9ced-6fc4cac2e26b" targetNamespace="http://schemas.microsoft.com/office/2006/metadata/properties" ma:root="true" ma:fieldsID="bb13aa8ed0ee78d148036a7838794a68" ns2:_="" ns3:_="">
    <xsd:import namespace="e8be2329-8b22-475d-be18-1f098bcaa13e"/>
    <xsd:import namespace="4db0dc19-933a-4af8-9ced-6fc4cac2e26b"/>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0dc19-933a-4af8-9ced-6fc4cac2e26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2000-BBED-41D7-AB01-D393712F5B8D}">
  <ds:schemaRefs>
    <ds:schemaRef ds:uri="http://schemas.microsoft.com/office/2006/metadata/properties"/>
    <ds:schemaRef ds:uri="http://schemas.microsoft.com/office/infopath/2007/PartnerControls"/>
    <ds:schemaRef ds:uri="e8be2329-8b22-475d-be18-1f098bcaa13e"/>
  </ds:schemaRefs>
</ds:datastoreItem>
</file>

<file path=customXml/itemProps2.xml><?xml version="1.0" encoding="utf-8"?>
<ds:datastoreItem xmlns:ds="http://schemas.openxmlformats.org/officeDocument/2006/customXml" ds:itemID="{6AC4A45A-ED45-47EF-B611-B7065B29C478}">
  <ds:schemaRefs>
    <ds:schemaRef ds:uri="http://schemas.microsoft.com/sharepoint/v3/contenttype/forms"/>
  </ds:schemaRefs>
</ds:datastoreItem>
</file>

<file path=customXml/itemProps3.xml><?xml version="1.0" encoding="utf-8"?>
<ds:datastoreItem xmlns:ds="http://schemas.openxmlformats.org/officeDocument/2006/customXml" ds:itemID="{4A2EA696-AC1C-42B3-9D82-82BBE4780B04}">
  <ds:schemaRefs>
    <ds:schemaRef ds:uri="Microsoft.SharePoint.Taxonomy.ContentTypeSync"/>
  </ds:schemaRefs>
</ds:datastoreItem>
</file>

<file path=customXml/itemProps4.xml><?xml version="1.0" encoding="utf-8"?>
<ds:datastoreItem xmlns:ds="http://schemas.openxmlformats.org/officeDocument/2006/customXml" ds:itemID="{05062A25-FC99-4D69-AFEA-9AAFFB6E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4db0dc19-933a-4af8-9ced-6fc4cac2e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30381-F796-44F8-AB47-C88F6EC5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dc:description/>
  <cp:lastModifiedBy>Louise Stenholdt</cp:lastModifiedBy>
  <cp:revision>2</cp:revision>
  <cp:lastPrinted>2015-08-14T11:15:00Z</cp:lastPrinted>
  <dcterms:created xsi:type="dcterms:W3CDTF">2019-01-02T13:19:00Z</dcterms:created>
  <dcterms:modified xsi:type="dcterms:W3CDTF">2019-01-02T13:19:00Z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0x010100C39B01F0E906BD43BFC695DB843E51A100BA684482146EDC44A1F2CA8C37304331</vt:lpwstr>
  </property>
  <property fmtid="{D5CDD505-2E9C-101B-9397-08002B2CF9AE}" pid="3" name="Arbejdsområde">
    <vt:lpwstr>845;#Jura:Aftaler, blanketter og kontrakter:Blanketter|5eb48174-f468-4e50-b88b-801fd56f7f0a</vt:lpwstr>
  </property>
  <property fmtid="{D5CDD505-2E9C-101B-9397-08002B2CF9AE}" pid="4" name="ED Faglige emner">
    <vt:lpwstr>28;#Boliglejeret|c94960c0-44dc-4b41-a8d1-9d7bdcf6754c</vt:lpwstr>
  </property>
  <property fmtid="{D5CDD505-2E9C-101B-9397-08002B2CF9AE}" pid="5" name="ED Interessenter">
    <vt:lpwstr>33;#Medlemmer|d25fa20e-797c-4f1c-87b6-794e950d7c08</vt:lpwstr>
  </property>
  <property fmtid="{D5CDD505-2E9C-101B-9397-08002B2CF9AE}" pid="6" name="ED Dokumenttype">
    <vt:lpwstr>1;#Arbejdsdokument|ae4c6841-f952-4321-b45a-9f893ee82105</vt:lpwstr>
  </property>
  <property fmtid="{D5CDD505-2E9C-101B-9397-08002B2CF9AE}" pid="7" name="ED overordnet emne">
    <vt:lpwstr>40;#Jura|7d4bfbbf-6cc7-4517-a422-95a4248c52f5</vt:lpwstr>
  </property>
</Properties>
</file>